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4A" w:rsidRPr="008F254A" w:rsidRDefault="008F254A" w:rsidP="008F254A">
      <w:pPr>
        <w:jc w:val="center"/>
        <w:outlineLvl w:val="0"/>
        <w:rPr>
          <w:rFonts w:ascii="Times New Roman" w:hAnsi="Times New Roman" w:cs="Times New Roman"/>
          <w:b/>
          <w:sz w:val="28"/>
          <w:szCs w:val="28"/>
        </w:rPr>
      </w:pPr>
      <w:r w:rsidRPr="008F254A">
        <w:rPr>
          <w:rFonts w:ascii="Times New Roman" w:hAnsi="Times New Roman" w:cs="Times New Roman"/>
          <w:b/>
          <w:sz w:val="28"/>
          <w:szCs w:val="28"/>
        </w:rPr>
        <w:t>Sources of Variation in Musicians’ Use of Performance Cues</w:t>
      </w:r>
    </w:p>
    <w:p w:rsidR="008F254A" w:rsidRPr="008F254A" w:rsidRDefault="008F254A" w:rsidP="008F254A">
      <w:pPr>
        <w:pStyle w:val="ICOMCSAuthor"/>
        <w:outlineLvl w:val="0"/>
        <w:rPr>
          <w:rFonts w:cs="Times New Roman"/>
          <w:sz w:val="20"/>
          <w:szCs w:val="20"/>
        </w:rPr>
      </w:pPr>
      <w:r w:rsidRPr="008F254A">
        <w:rPr>
          <w:rFonts w:cs="Times New Roman"/>
          <w:sz w:val="20"/>
          <w:szCs w:val="20"/>
        </w:rPr>
        <w:t>Roger Chaffin, Alexander Demos, Mary Crawford</w:t>
      </w:r>
    </w:p>
    <w:p w:rsidR="00295860" w:rsidRDefault="008F254A" w:rsidP="00295860">
      <w:pPr>
        <w:pStyle w:val="ICOMCSAffiliation"/>
        <w:outlineLvl w:val="0"/>
        <w:rPr>
          <w:rFonts w:cs="Times New Roman"/>
          <w:sz w:val="20"/>
          <w:szCs w:val="20"/>
        </w:rPr>
        <w:sectPr w:rsidR="00295860" w:rsidSect="003E4DB4">
          <w:headerReference w:type="default" r:id="rId8"/>
          <w:type w:val="continuous"/>
          <w:pgSz w:w="11901" w:h="16840" w:code="9"/>
          <w:pgMar w:top="1247" w:right="1588" w:bottom="1151" w:left="1582" w:header="709" w:footer="709" w:gutter="0"/>
          <w:cols w:space="288"/>
          <w:noEndnote/>
          <w:docGrid w:linePitch="360"/>
        </w:sectPr>
      </w:pPr>
      <w:r w:rsidRPr="008F254A">
        <w:rPr>
          <w:rFonts w:cs="Times New Roman"/>
          <w:sz w:val="20"/>
          <w:szCs w:val="20"/>
        </w:rPr>
        <w:t>Dept. of Psychology</w:t>
      </w:r>
      <w:r w:rsidR="00154C80">
        <w:rPr>
          <w:rFonts w:cs="Times New Roman"/>
          <w:sz w:val="20"/>
          <w:szCs w:val="20"/>
        </w:rPr>
        <w:t>, University of Connecticut, U</w:t>
      </w:r>
      <w:r w:rsidR="00DB0668">
        <w:rPr>
          <w:rFonts w:cs="Times New Roman"/>
          <w:sz w:val="20"/>
          <w:szCs w:val="20"/>
        </w:rPr>
        <w:t>SA</w:t>
      </w:r>
    </w:p>
    <w:p w:rsidR="003E4DB4" w:rsidRDefault="003E4DB4" w:rsidP="00295860">
      <w:pPr>
        <w:pStyle w:val="ICOMCSAffiliation"/>
        <w:outlineLvl w:val="0"/>
        <w:rPr>
          <w:rFonts w:cs="Times New Roman"/>
        </w:rPr>
        <w:sectPr w:rsidR="003E4DB4" w:rsidSect="00295860">
          <w:type w:val="continuous"/>
          <w:pgSz w:w="11901" w:h="16840" w:code="9"/>
          <w:pgMar w:top="1247" w:right="1588" w:bottom="1151" w:left="1582" w:header="709" w:footer="709" w:gutter="0"/>
          <w:cols w:num="2" w:space="288"/>
          <w:noEndnote/>
          <w:docGrid w:linePitch="360"/>
        </w:sectPr>
      </w:pPr>
    </w:p>
    <w:p w:rsidR="008F254A" w:rsidRPr="00787929" w:rsidRDefault="008F254A" w:rsidP="00295860">
      <w:pPr>
        <w:pStyle w:val="ICOMCSAffiliation"/>
        <w:outlineLvl w:val="0"/>
        <w:rPr>
          <w:rFonts w:cs="Times New Roman"/>
          <w:b/>
        </w:rPr>
      </w:pPr>
      <w:r w:rsidRPr="00787929">
        <w:rPr>
          <w:rFonts w:cs="Times New Roman"/>
          <w:b/>
        </w:rPr>
        <w:lastRenderedPageBreak/>
        <w:t>ABSTRACT</w:t>
      </w:r>
    </w:p>
    <w:p w:rsidR="008F254A" w:rsidRPr="008F254A" w:rsidRDefault="008F254A" w:rsidP="008F254A">
      <w:pPr>
        <w:pStyle w:val="Abstract"/>
        <w:rPr>
          <w:rFonts w:cs="Times New Roman"/>
          <w:szCs w:val="20"/>
        </w:rPr>
      </w:pPr>
      <w:r w:rsidRPr="008F254A">
        <w:rPr>
          <w:rFonts w:cs="Times New Roman"/>
          <w:szCs w:val="20"/>
        </w:rPr>
        <w:t xml:space="preserve">Performance cues (PCs) are the mental landmarks that a musician monitors to track the progress of a piece </w:t>
      </w:r>
      <w:r w:rsidR="00422C07">
        <w:rPr>
          <w:rFonts w:cs="Times New Roman"/>
          <w:szCs w:val="20"/>
        </w:rPr>
        <w:t xml:space="preserve">during </w:t>
      </w:r>
      <w:r w:rsidRPr="008F254A">
        <w:rPr>
          <w:rFonts w:cs="Times New Roman"/>
          <w:szCs w:val="20"/>
        </w:rPr>
        <w:t>performance. We compare</w:t>
      </w:r>
      <w:r w:rsidR="000316AC">
        <w:rPr>
          <w:rFonts w:cs="Times New Roman"/>
          <w:szCs w:val="20"/>
        </w:rPr>
        <w:t>d</w:t>
      </w:r>
      <w:r w:rsidRPr="008F254A">
        <w:rPr>
          <w:rFonts w:cs="Times New Roman"/>
          <w:szCs w:val="20"/>
        </w:rPr>
        <w:t xml:space="preserve"> PC reports from nine case studies </w:t>
      </w:r>
      <w:r w:rsidR="00422C07">
        <w:rPr>
          <w:rFonts w:cs="Times New Roman"/>
          <w:szCs w:val="20"/>
        </w:rPr>
        <w:t xml:space="preserve">in which musicians recorded their practice as they learned a new piece </w:t>
      </w:r>
      <w:r w:rsidR="00DD7C49">
        <w:rPr>
          <w:rFonts w:cs="Times New Roman"/>
          <w:szCs w:val="20"/>
        </w:rPr>
        <w:t xml:space="preserve">for performance </w:t>
      </w:r>
      <w:r w:rsidR="00422C07">
        <w:rPr>
          <w:rFonts w:cs="Times New Roman"/>
          <w:szCs w:val="20"/>
        </w:rPr>
        <w:t>and then reported the</w:t>
      </w:r>
      <w:r w:rsidR="00DD7C49">
        <w:rPr>
          <w:rFonts w:cs="Times New Roman"/>
          <w:szCs w:val="20"/>
        </w:rPr>
        <w:t>ir</w:t>
      </w:r>
      <w:r w:rsidR="00422C07">
        <w:rPr>
          <w:rFonts w:cs="Times New Roman"/>
          <w:szCs w:val="20"/>
        </w:rPr>
        <w:t xml:space="preserve"> PCs. Our results </w:t>
      </w:r>
      <w:r w:rsidR="00AE6B01">
        <w:rPr>
          <w:rFonts w:cs="Times New Roman"/>
          <w:szCs w:val="20"/>
        </w:rPr>
        <w:t xml:space="preserve">indicate that </w:t>
      </w:r>
      <w:r w:rsidRPr="008F254A">
        <w:rPr>
          <w:rFonts w:cs="Times New Roman"/>
          <w:szCs w:val="20"/>
        </w:rPr>
        <w:t>the number and type of PCs differ with the experience of the musician</w:t>
      </w:r>
      <w:r w:rsidR="00AE6B01">
        <w:rPr>
          <w:rFonts w:cs="Times New Roman"/>
          <w:szCs w:val="20"/>
        </w:rPr>
        <w:t xml:space="preserve"> and</w:t>
      </w:r>
      <w:r w:rsidRPr="008F254A">
        <w:rPr>
          <w:rFonts w:cs="Times New Roman"/>
          <w:szCs w:val="20"/>
        </w:rPr>
        <w:t xml:space="preserve"> difficulty of the piece. We outline a planned survey that will expand the data available for such comparisons</w:t>
      </w:r>
      <w:r w:rsidR="001662FA">
        <w:rPr>
          <w:rFonts w:cs="Times New Roman"/>
          <w:szCs w:val="20"/>
        </w:rPr>
        <w:t xml:space="preserve"> and we also</w:t>
      </w:r>
      <w:r w:rsidRPr="008F254A">
        <w:rPr>
          <w:rFonts w:cs="Times New Roman"/>
          <w:szCs w:val="20"/>
        </w:rPr>
        <w:t xml:space="preserve"> describe SYMP (Study Your Music Practice), a software tool that relates analyses of a piece of music (e.g., PC reports) to behavioral measures of practice and performance. </w:t>
      </w:r>
      <w:r w:rsidR="000316AC">
        <w:rPr>
          <w:rFonts w:cs="Times New Roman"/>
          <w:szCs w:val="20"/>
        </w:rPr>
        <w:t>Studying musicians</w:t>
      </w:r>
      <w:r w:rsidR="00133B15">
        <w:rPr>
          <w:rFonts w:cs="Times New Roman"/>
          <w:szCs w:val="20"/>
        </w:rPr>
        <w:t>’</w:t>
      </w:r>
      <w:r w:rsidR="000316AC">
        <w:rPr>
          <w:rFonts w:cs="Times New Roman"/>
          <w:szCs w:val="20"/>
        </w:rPr>
        <w:t xml:space="preserve"> use</w:t>
      </w:r>
      <w:r w:rsidR="00457300">
        <w:rPr>
          <w:rFonts w:cs="Times New Roman"/>
          <w:szCs w:val="20"/>
        </w:rPr>
        <w:t xml:space="preserve"> of</w:t>
      </w:r>
      <w:r w:rsidR="000316AC">
        <w:rPr>
          <w:rFonts w:cs="Times New Roman"/>
          <w:szCs w:val="20"/>
        </w:rPr>
        <w:t xml:space="preserve"> PCs </w:t>
      </w:r>
      <w:r w:rsidR="00AE6B01">
        <w:rPr>
          <w:rFonts w:cs="Times New Roman"/>
          <w:szCs w:val="20"/>
        </w:rPr>
        <w:t xml:space="preserve">will </w:t>
      </w:r>
      <w:r w:rsidR="00133B15">
        <w:rPr>
          <w:rFonts w:cs="Times New Roman"/>
          <w:szCs w:val="20"/>
        </w:rPr>
        <w:t xml:space="preserve">help </w:t>
      </w:r>
      <w:r w:rsidR="00AE6B01">
        <w:rPr>
          <w:rFonts w:cs="Times New Roman"/>
          <w:szCs w:val="20"/>
        </w:rPr>
        <w:t xml:space="preserve">researchers and performers </w:t>
      </w:r>
      <w:r w:rsidR="00133B15">
        <w:rPr>
          <w:rFonts w:cs="Times New Roman"/>
          <w:szCs w:val="20"/>
        </w:rPr>
        <w:t>understand</w:t>
      </w:r>
      <w:r w:rsidR="000316AC">
        <w:rPr>
          <w:rFonts w:cs="Times New Roman"/>
          <w:szCs w:val="20"/>
        </w:rPr>
        <w:t xml:space="preserve"> how controlled and automatic processes are integrated in highly skilled performance</w:t>
      </w:r>
      <w:r w:rsidRPr="008F254A">
        <w:rPr>
          <w:rFonts w:cs="Times New Roman"/>
          <w:szCs w:val="20"/>
        </w:rPr>
        <w:t>.</w:t>
      </w:r>
    </w:p>
    <w:p w:rsidR="008F254A" w:rsidRPr="008F254A" w:rsidRDefault="008F254A" w:rsidP="008F254A">
      <w:pPr>
        <w:pStyle w:val="ICOMCSHead1"/>
        <w:tabs>
          <w:tab w:val="num" w:pos="454"/>
        </w:tabs>
        <w:ind w:left="461" w:hanging="461"/>
        <w:rPr>
          <w:rFonts w:cs="Times New Roman"/>
        </w:rPr>
      </w:pPr>
      <w:r w:rsidRPr="008F254A">
        <w:rPr>
          <w:rFonts w:cs="Times New Roman"/>
        </w:rPr>
        <w:t>performance cues</w:t>
      </w:r>
    </w:p>
    <w:p w:rsidR="008F254A" w:rsidRPr="008F254A" w:rsidRDefault="008F254A" w:rsidP="008F254A">
      <w:pPr>
        <w:pStyle w:val="Abstract"/>
        <w:rPr>
          <w:rFonts w:cs="Times New Roman"/>
          <w:szCs w:val="20"/>
        </w:rPr>
      </w:pPr>
      <w:r w:rsidRPr="008F254A">
        <w:rPr>
          <w:rFonts w:cs="Times New Roman"/>
          <w:szCs w:val="20"/>
        </w:rPr>
        <w:t>Performance cues (PCs) are the landmarks in a piece of music that a musician thinks about during performance. They provide a mental map of the piece that allows the performer to monitor the music as it unfolds and to recover from mistakes and memory lapses. PCs are prepared during practice so that they come to mind automatically on stage, giving the musician the ability to focus on each aspect of the piece at the right moment</w:t>
      </w:r>
      <w:r w:rsidR="00AE6B01">
        <w:rPr>
          <w:rFonts w:cs="Times New Roman"/>
          <w:szCs w:val="20"/>
        </w:rPr>
        <w:t>. They p</w:t>
      </w:r>
      <w:r w:rsidRPr="008F254A">
        <w:rPr>
          <w:rFonts w:cs="Times New Roman"/>
          <w:szCs w:val="20"/>
        </w:rPr>
        <w:t>rovid</w:t>
      </w:r>
      <w:r w:rsidR="00AE6B01">
        <w:rPr>
          <w:rFonts w:cs="Times New Roman"/>
          <w:szCs w:val="20"/>
        </w:rPr>
        <w:t>e</w:t>
      </w:r>
      <w:r w:rsidRPr="008F254A">
        <w:rPr>
          <w:rFonts w:cs="Times New Roman"/>
          <w:szCs w:val="20"/>
        </w:rPr>
        <w:t xml:space="preserve"> the flexibility needed for musical spontaneity and recover</w:t>
      </w:r>
      <w:r w:rsidR="00AE6B01">
        <w:rPr>
          <w:rFonts w:cs="Times New Roman"/>
          <w:szCs w:val="20"/>
        </w:rPr>
        <w:t>y</w:t>
      </w:r>
      <w:r w:rsidRPr="008F254A">
        <w:rPr>
          <w:rFonts w:cs="Times New Roman"/>
          <w:szCs w:val="20"/>
        </w:rPr>
        <w:t xml:space="preserve"> from disruptions.</w:t>
      </w:r>
    </w:p>
    <w:p w:rsidR="008F254A" w:rsidRPr="008F254A" w:rsidRDefault="008F254A" w:rsidP="008F254A">
      <w:pPr>
        <w:pStyle w:val="Abstract"/>
        <w:rPr>
          <w:rFonts w:cs="Times New Roman"/>
          <w:szCs w:val="20"/>
        </w:rPr>
      </w:pPr>
      <w:r w:rsidRPr="008F254A">
        <w:rPr>
          <w:rFonts w:cs="Times New Roman"/>
          <w:szCs w:val="20"/>
        </w:rPr>
        <w:t xml:space="preserve">Four main types of PC are normally required in solo performance: </w:t>
      </w:r>
      <w:r w:rsidR="00DB0668">
        <w:rPr>
          <w:rFonts w:cs="Times New Roman"/>
          <w:szCs w:val="20"/>
        </w:rPr>
        <w:t>s</w:t>
      </w:r>
      <w:r w:rsidRPr="008F254A">
        <w:rPr>
          <w:rFonts w:cs="Times New Roman"/>
          <w:szCs w:val="20"/>
        </w:rPr>
        <w:t xml:space="preserve">tructure, expression, interpretation, and basic technique.  Structural PC’s are critical places in the formal structure such as harmonic and melodic boundaries. </w:t>
      </w:r>
      <w:r w:rsidR="001E3953">
        <w:rPr>
          <w:rFonts w:cs="Times New Roman"/>
          <w:szCs w:val="20"/>
        </w:rPr>
        <w:t xml:space="preserve"> </w:t>
      </w:r>
      <w:r w:rsidRPr="008F254A">
        <w:rPr>
          <w:rFonts w:cs="Times New Roman"/>
          <w:szCs w:val="20"/>
        </w:rPr>
        <w:t xml:space="preserve">Expressive PCs represent turning points in the musical feeling, e.g., excited, sad.  Interpretive PCs represent the changes in tempo, dynamics, timbre, or color that accomplish these expressive effects. </w:t>
      </w:r>
      <w:r w:rsidR="001E3953">
        <w:rPr>
          <w:rFonts w:cs="Times New Roman"/>
          <w:szCs w:val="20"/>
        </w:rPr>
        <w:t xml:space="preserve"> </w:t>
      </w:r>
      <w:r w:rsidRPr="008F254A">
        <w:rPr>
          <w:rFonts w:cs="Times New Roman"/>
          <w:szCs w:val="20"/>
        </w:rPr>
        <w:t xml:space="preserve">Basic PCs represent details of technique that must be implemented in order to be able to produce these musical gestures as planned, e.g., a fingering required to set up the hand for what follows. </w:t>
      </w:r>
    </w:p>
    <w:p w:rsidR="008F254A" w:rsidRPr="008F254A" w:rsidRDefault="008F254A" w:rsidP="008F254A">
      <w:pPr>
        <w:pStyle w:val="Abstract"/>
        <w:rPr>
          <w:rFonts w:cs="Times New Roman"/>
          <w:szCs w:val="20"/>
        </w:rPr>
      </w:pPr>
      <w:r w:rsidRPr="008F254A">
        <w:rPr>
          <w:rFonts w:cs="Times New Roman"/>
          <w:szCs w:val="20"/>
        </w:rPr>
        <w:t>Most aspects of technique, interpretation</w:t>
      </w:r>
      <w:r w:rsidR="00DB0668">
        <w:rPr>
          <w:rFonts w:cs="Times New Roman"/>
          <w:szCs w:val="20"/>
        </w:rPr>
        <w:t>,</w:t>
      </w:r>
      <w:r w:rsidRPr="008F254A">
        <w:rPr>
          <w:rFonts w:cs="Times New Roman"/>
          <w:szCs w:val="20"/>
        </w:rPr>
        <w:t xml:space="preserve"> and structure become automatic through practice</w:t>
      </w:r>
      <w:r w:rsidR="001E3953" w:rsidRPr="008F254A">
        <w:rPr>
          <w:rFonts w:cs="Times New Roman"/>
          <w:szCs w:val="20"/>
        </w:rPr>
        <w:t xml:space="preserve">.  </w:t>
      </w:r>
      <w:r w:rsidRPr="008F254A">
        <w:rPr>
          <w:rFonts w:cs="Times New Roman"/>
          <w:szCs w:val="20"/>
        </w:rPr>
        <w:t xml:space="preserve">By the time a piece is ready for </w:t>
      </w:r>
      <w:r w:rsidR="00AE6B01">
        <w:rPr>
          <w:rFonts w:cs="Times New Roman"/>
          <w:szCs w:val="20"/>
        </w:rPr>
        <w:t xml:space="preserve">public </w:t>
      </w:r>
      <w:r w:rsidRPr="008F254A">
        <w:rPr>
          <w:rFonts w:cs="Times New Roman"/>
          <w:szCs w:val="20"/>
        </w:rPr>
        <w:t>performance, the musician attends to only a few of the many features that initially required attention during practice</w:t>
      </w:r>
      <w:r w:rsidR="001E3953" w:rsidRPr="008F254A">
        <w:rPr>
          <w:rFonts w:cs="Times New Roman"/>
          <w:szCs w:val="20"/>
        </w:rPr>
        <w:t xml:space="preserve">.  </w:t>
      </w:r>
      <w:r w:rsidRPr="008F254A">
        <w:rPr>
          <w:rFonts w:cs="Times New Roman"/>
          <w:szCs w:val="20"/>
        </w:rPr>
        <w:t xml:space="preserve">These are the musician’s PCs. PCs are features of a piece that the musician still pays conscious attention to during performance. </w:t>
      </w:r>
    </w:p>
    <w:p w:rsidR="008F254A" w:rsidRPr="008F254A" w:rsidRDefault="008F254A" w:rsidP="008F254A">
      <w:pPr>
        <w:pStyle w:val="Abstract"/>
        <w:rPr>
          <w:rFonts w:cs="Times New Roman"/>
          <w:szCs w:val="20"/>
        </w:rPr>
      </w:pPr>
      <w:r w:rsidRPr="008F254A">
        <w:rPr>
          <w:rFonts w:cs="Times New Roman"/>
          <w:szCs w:val="20"/>
        </w:rPr>
        <w:t>We know that musicians use PCs from longitudinal case studies in which experienced performers recorded their practice as they prepared new pieces for performance and then reported the PCs that they used. The validity of the reports was supported by behavioral evidence from practice, polished performance, and written recall</w:t>
      </w:r>
      <w:r w:rsidR="00133B15">
        <w:rPr>
          <w:rFonts w:cs="Times New Roman"/>
          <w:szCs w:val="20"/>
        </w:rPr>
        <w:t xml:space="preserve"> </w:t>
      </w:r>
      <w:r w:rsidR="00133B15" w:rsidRPr="008F254A">
        <w:rPr>
          <w:rFonts w:cs="Times New Roman"/>
          <w:szCs w:val="20"/>
        </w:rPr>
        <w:lastRenderedPageBreak/>
        <w:t>(Chaffin, Imreh and Crawford 2002; Chaffin 2006; Chaffin, Lisboa, Logan and Begosh 2009; Ginsborg, Chaffin &amp; Nicholson 2006)</w:t>
      </w:r>
      <w:r w:rsidRPr="008F254A">
        <w:rPr>
          <w:rFonts w:cs="Times New Roman"/>
          <w:szCs w:val="20"/>
        </w:rPr>
        <w:t xml:space="preserve">. </w:t>
      </w:r>
    </w:p>
    <w:p w:rsidR="008F254A" w:rsidRPr="008F254A" w:rsidRDefault="008F254A" w:rsidP="008F254A">
      <w:pPr>
        <w:pStyle w:val="Abstract"/>
        <w:rPr>
          <w:rFonts w:cs="Times New Roman"/>
          <w:szCs w:val="20"/>
        </w:rPr>
      </w:pPr>
      <w:r w:rsidRPr="008F254A">
        <w:rPr>
          <w:rFonts w:cs="Times New Roman"/>
          <w:szCs w:val="20"/>
        </w:rPr>
        <w:t xml:space="preserve">We do not know how the use of PCs varies across musicians, music, instrument, and type of performance. Here we </w:t>
      </w:r>
      <w:r w:rsidR="006E3519">
        <w:rPr>
          <w:rFonts w:cs="Times New Roman"/>
          <w:szCs w:val="20"/>
        </w:rPr>
        <w:t>take a first step towards</w:t>
      </w:r>
      <w:r w:rsidRPr="008F254A">
        <w:rPr>
          <w:rFonts w:cs="Times New Roman"/>
          <w:szCs w:val="20"/>
        </w:rPr>
        <w:t xml:space="preserve"> answer</w:t>
      </w:r>
      <w:r w:rsidR="006E3519">
        <w:rPr>
          <w:rFonts w:cs="Times New Roman"/>
          <w:szCs w:val="20"/>
        </w:rPr>
        <w:t>ing</w:t>
      </w:r>
      <w:r w:rsidRPr="008F254A">
        <w:rPr>
          <w:rFonts w:cs="Times New Roman"/>
          <w:szCs w:val="20"/>
        </w:rPr>
        <w:t xml:space="preserve"> these questions. We compare the PCs reported in nine longitudinal case studies, four of which have been published</w:t>
      </w:r>
      <w:r w:rsidR="009B3B01">
        <w:rPr>
          <w:rFonts w:cs="Times New Roman"/>
          <w:szCs w:val="20"/>
        </w:rPr>
        <w:t xml:space="preserve"> previously</w:t>
      </w:r>
      <w:r w:rsidRPr="008F254A">
        <w:rPr>
          <w:rFonts w:cs="Times New Roman"/>
          <w:szCs w:val="20"/>
        </w:rPr>
        <w:t xml:space="preserve">. We will also examine the agreement between musicians about the locations of PCs for one piece, </w:t>
      </w:r>
      <w:r w:rsidR="006E3519">
        <w:rPr>
          <w:rFonts w:cs="Times New Roman"/>
          <w:szCs w:val="20"/>
        </w:rPr>
        <w:t xml:space="preserve">the </w:t>
      </w:r>
      <w:r w:rsidR="00DB0668" w:rsidRPr="00DB0668">
        <w:rPr>
          <w:rFonts w:cs="Times New Roman"/>
          <w:i/>
          <w:szCs w:val="20"/>
        </w:rPr>
        <w:t>Italian Concerto</w:t>
      </w:r>
      <w:r w:rsidR="00DB0668">
        <w:rPr>
          <w:rFonts w:cs="Times New Roman"/>
          <w:szCs w:val="20"/>
        </w:rPr>
        <w:t xml:space="preserve"> </w:t>
      </w:r>
      <w:r w:rsidR="009B3B01">
        <w:rPr>
          <w:rFonts w:cs="Times New Roman"/>
          <w:i/>
          <w:szCs w:val="20"/>
        </w:rPr>
        <w:t xml:space="preserve">(Presto) </w:t>
      </w:r>
      <w:r w:rsidR="00DB0668">
        <w:rPr>
          <w:rFonts w:cs="Times New Roman"/>
          <w:szCs w:val="20"/>
        </w:rPr>
        <w:t>by J.S. Bach</w:t>
      </w:r>
      <w:r w:rsidRPr="008F254A">
        <w:rPr>
          <w:rFonts w:cs="Times New Roman"/>
          <w:szCs w:val="20"/>
        </w:rPr>
        <w:t>, for which three different pianists provided PC reports</w:t>
      </w:r>
      <w:r w:rsidR="001E3953" w:rsidRPr="008F254A">
        <w:rPr>
          <w:rFonts w:cs="Times New Roman"/>
          <w:szCs w:val="20"/>
        </w:rPr>
        <w:t xml:space="preserve">.  </w:t>
      </w:r>
      <w:r w:rsidR="006E3519">
        <w:rPr>
          <w:rFonts w:cs="Times New Roman"/>
          <w:szCs w:val="20"/>
        </w:rPr>
        <w:t>W</w:t>
      </w:r>
      <w:r w:rsidRPr="008F254A">
        <w:rPr>
          <w:rFonts w:cs="Times New Roman"/>
          <w:szCs w:val="20"/>
        </w:rPr>
        <w:t>hile no conclusions can be drawn from such a small sample, the exercise draws attention to the need for more extensive samples and identifies the type of conclusions that may be drawn.</w:t>
      </w:r>
    </w:p>
    <w:p w:rsidR="008F254A" w:rsidRPr="008F254A" w:rsidRDefault="008F254A" w:rsidP="008F254A">
      <w:pPr>
        <w:pStyle w:val="Abstract"/>
        <w:rPr>
          <w:rFonts w:cs="Times New Roman"/>
          <w:szCs w:val="20"/>
        </w:rPr>
      </w:pPr>
      <w:r w:rsidRPr="008F254A">
        <w:rPr>
          <w:rFonts w:cs="Times New Roman"/>
          <w:szCs w:val="20"/>
        </w:rPr>
        <w:t xml:space="preserve">We </w:t>
      </w:r>
      <w:r w:rsidR="00AE6B01">
        <w:rPr>
          <w:rFonts w:cs="Times New Roman"/>
          <w:szCs w:val="20"/>
        </w:rPr>
        <w:t xml:space="preserve">next </w:t>
      </w:r>
      <w:r w:rsidRPr="008F254A">
        <w:rPr>
          <w:rFonts w:cs="Times New Roman"/>
          <w:szCs w:val="20"/>
        </w:rPr>
        <w:t>outline a plan to conduct a more extensive survey of PC use</w:t>
      </w:r>
      <w:r w:rsidR="006E3519">
        <w:rPr>
          <w:rFonts w:cs="Times New Roman"/>
          <w:szCs w:val="20"/>
        </w:rPr>
        <w:t>. We also</w:t>
      </w:r>
      <w:r w:rsidRPr="008F254A">
        <w:rPr>
          <w:rFonts w:cs="Times New Roman"/>
          <w:szCs w:val="20"/>
        </w:rPr>
        <w:t xml:space="preserve"> describe a software tool that can be use for conducting the kind of longitudinal case study of practice that we have previously used to document the development of PCs. </w:t>
      </w:r>
      <w:r w:rsidR="006E3519">
        <w:rPr>
          <w:rFonts w:cs="Times New Roman"/>
          <w:szCs w:val="20"/>
        </w:rPr>
        <w:t xml:space="preserve">The program is freely available for download from our website. Our goal is to assist musicians in conducting their own studies of PCs. </w:t>
      </w:r>
    </w:p>
    <w:p w:rsidR="008F254A" w:rsidRPr="008F254A" w:rsidRDefault="008F254A" w:rsidP="008F254A">
      <w:pPr>
        <w:pStyle w:val="ICOMCSHead1"/>
        <w:tabs>
          <w:tab w:val="num" w:pos="454"/>
        </w:tabs>
        <w:ind w:left="461" w:hanging="461"/>
        <w:rPr>
          <w:rFonts w:cs="Times New Roman"/>
        </w:rPr>
      </w:pPr>
      <w:r w:rsidRPr="008F254A">
        <w:rPr>
          <w:rFonts w:cs="Times New Roman"/>
        </w:rPr>
        <w:t>COMPARING ACROSS MUSICIANs, PIECEs, &amp; INSTRUMENTs</w:t>
      </w:r>
    </w:p>
    <w:p w:rsidR="008F254A" w:rsidRPr="008F254A" w:rsidRDefault="008F254A" w:rsidP="008F254A">
      <w:pPr>
        <w:pStyle w:val="ICOMCSHead2"/>
        <w:spacing w:before="140" w:line="219" w:lineRule="exact"/>
        <w:outlineLvl w:val="0"/>
        <w:rPr>
          <w:rFonts w:cs="Times New Roman"/>
          <w:sz w:val="20"/>
          <w:szCs w:val="20"/>
        </w:rPr>
      </w:pPr>
      <w:r w:rsidRPr="008F254A">
        <w:rPr>
          <w:rFonts w:cs="Times New Roman"/>
          <w:sz w:val="20"/>
          <w:szCs w:val="20"/>
        </w:rPr>
        <w:t xml:space="preserve">Method. </w:t>
      </w:r>
    </w:p>
    <w:p w:rsidR="008F254A" w:rsidRPr="008F254A" w:rsidRDefault="008F254A" w:rsidP="008F254A">
      <w:pPr>
        <w:spacing w:before="140" w:after="0" w:line="219" w:lineRule="exact"/>
        <w:jc w:val="both"/>
        <w:rPr>
          <w:rFonts w:ascii="Times New Roman" w:hAnsi="Times New Roman" w:cs="Times New Roman"/>
          <w:sz w:val="18"/>
          <w:szCs w:val="18"/>
        </w:rPr>
      </w:pPr>
      <w:r w:rsidRPr="008F254A">
        <w:rPr>
          <w:rFonts w:ascii="Times New Roman" w:eastAsia="SimSun" w:hAnsi="Times New Roman" w:cs="Times New Roman"/>
          <w:color w:val="000000"/>
          <w:sz w:val="18"/>
          <w:szCs w:val="18"/>
          <w:lang w:eastAsia="zh-CN"/>
        </w:rPr>
        <w:t>Three pianists provided</w:t>
      </w:r>
      <w:r w:rsidRPr="008F254A">
        <w:rPr>
          <w:rFonts w:ascii="Times New Roman" w:hAnsi="Times New Roman" w:cs="Times New Roman"/>
          <w:sz w:val="18"/>
          <w:szCs w:val="18"/>
        </w:rPr>
        <w:t xml:space="preserve"> PC reports for the </w:t>
      </w:r>
      <w:r w:rsidRPr="008F254A">
        <w:rPr>
          <w:rFonts w:ascii="Times New Roman" w:hAnsi="Times New Roman" w:cs="Times New Roman"/>
          <w:i/>
          <w:sz w:val="18"/>
          <w:szCs w:val="18"/>
        </w:rPr>
        <w:t>Italian Concerto (Presto)</w:t>
      </w:r>
      <w:r w:rsidRPr="008F254A">
        <w:rPr>
          <w:rFonts w:ascii="Times New Roman" w:hAnsi="Times New Roman" w:cs="Times New Roman"/>
          <w:sz w:val="18"/>
          <w:szCs w:val="18"/>
        </w:rPr>
        <w:t xml:space="preserve">: a professional (Imreh) and two college student piano performance majors, one MA and one BA-level. Imreh also provided reports for a second piece, </w:t>
      </w:r>
      <w:r w:rsidRPr="008F254A">
        <w:rPr>
          <w:rFonts w:ascii="Times New Roman" w:hAnsi="Times New Roman" w:cs="Times New Roman"/>
          <w:i/>
          <w:sz w:val="18"/>
          <w:szCs w:val="18"/>
        </w:rPr>
        <w:t>Clair de Lune</w:t>
      </w:r>
      <w:r w:rsidRPr="008F254A">
        <w:rPr>
          <w:rFonts w:ascii="Times New Roman" w:hAnsi="Times New Roman" w:cs="Times New Roman"/>
          <w:sz w:val="18"/>
          <w:szCs w:val="18"/>
        </w:rPr>
        <w:t xml:space="preserve"> by Claude Debussy. In addition, we will describe the reports of three other professional musicians (Tania Lisboa, J.S. Bach, </w:t>
      </w:r>
      <w:r w:rsidRPr="008F254A">
        <w:rPr>
          <w:rFonts w:ascii="Times New Roman" w:hAnsi="Times New Roman" w:cs="Times New Roman"/>
          <w:i/>
          <w:sz w:val="18"/>
          <w:szCs w:val="18"/>
        </w:rPr>
        <w:t xml:space="preserve">Suite V1 (Prelude) </w:t>
      </w:r>
      <w:r w:rsidRPr="008F254A">
        <w:rPr>
          <w:rFonts w:ascii="Times New Roman" w:hAnsi="Times New Roman" w:cs="Times New Roman"/>
          <w:sz w:val="18"/>
          <w:szCs w:val="18"/>
        </w:rPr>
        <w:t xml:space="preserve">for solo cello; Jane Ginsborg, Stravinsky, </w:t>
      </w:r>
      <w:r w:rsidRPr="008F254A">
        <w:rPr>
          <w:rFonts w:ascii="Times New Roman" w:hAnsi="Times New Roman" w:cs="Times New Roman"/>
          <w:i/>
          <w:iCs/>
          <w:sz w:val="18"/>
          <w:szCs w:val="18"/>
        </w:rPr>
        <w:t xml:space="preserve">Ricercar 1 </w:t>
      </w:r>
      <w:r w:rsidRPr="008F254A">
        <w:rPr>
          <w:rFonts w:ascii="Times New Roman" w:hAnsi="Times New Roman" w:cs="Times New Roman"/>
          <w:sz w:val="18"/>
          <w:szCs w:val="18"/>
        </w:rPr>
        <w:t>for soprano and instrume</w:t>
      </w:r>
      <w:r w:rsidR="001960E7">
        <w:rPr>
          <w:rFonts w:ascii="Times New Roman" w:hAnsi="Times New Roman" w:cs="Times New Roman"/>
          <w:sz w:val="18"/>
          <w:szCs w:val="18"/>
        </w:rPr>
        <w:t xml:space="preserve">ntal ensemble; and </w:t>
      </w:r>
      <w:r w:rsidR="001C31EA" w:rsidRPr="001C31EA">
        <w:rPr>
          <w:rFonts w:ascii="Times New Roman" w:hAnsi="Times New Roman" w:cs="Times New Roman"/>
          <w:sz w:val="18"/>
          <w:szCs w:val="18"/>
        </w:rPr>
        <w:t>Luís Cláudio</w:t>
      </w:r>
      <w:r w:rsidRPr="008F254A">
        <w:rPr>
          <w:rFonts w:ascii="Times New Roman" w:hAnsi="Times New Roman" w:cs="Times New Roman"/>
          <w:sz w:val="18"/>
          <w:szCs w:val="18"/>
        </w:rPr>
        <w:t xml:space="preserve">, Brahms, </w:t>
      </w:r>
      <w:r w:rsidRPr="008F254A">
        <w:rPr>
          <w:rFonts w:ascii="Times New Roman" w:eastAsia="Times New Roman" w:hAnsi="Times New Roman" w:cs="Times New Roman"/>
          <w:i/>
          <w:sz w:val="18"/>
          <w:szCs w:val="18"/>
        </w:rPr>
        <w:t>Piano Sonata No.2 in F Sharp Minor, Allegro non troppo ma energico</w:t>
      </w:r>
      <w:r w:rsidRPr="008F254A">
        <w:rPr>
          <w:rFonts w:ascii="Times New Roman" w:eastAsia="Times New Roman" w:hAnsi="Times New Roman" w:cs="Times New Roman"/>
          <w:sz w:val="18"/>
          <w:szCs w:val="18"/>
        </w:rPr>
        <w:t xml:space="preserve">), </w:t>
      </w:r>
      <w:r w:rsidRPr="008F254A">
        <w:rPr>
          <w:rFonts w:ascii="Times New Roman" w:hAnsi="Times New Roman" w:cs="Times New Roman"/>
          <w:sz w:val="18"/>
          <w:szCs w:val="18"/>
        </w:rPr>
        <w:t xml:space="preserve">and two students (a BA-level trumpet performance major, Goedicke, </w:t>
      </w:r>
      <w:r w:rsidRPr="008F254A">
        <w:rPr>
          <w:rFonts w:ascii="Times New Roman" w:hAnsi="Times New Roman" w:cs="Times New Roman"/>
          <w:i/>
          <w:sz w:val="18"/>
          <w:szCs w:val="18"/>
        </w:rPr>
        <w:t>Concert Étude,</w:t>
      </w:r>
      <w:r w:rsidRPr="008F254A">
        <w:rPr>
          <w:rFonts w:ascii="Times New Roman" w:hAnsi="Times New Roman" w:cs="Times New Roman"/>
          <w:sz w:val="18"/>
          <w:szCs w:val="18"/>
        </w:rPr>
        <w:t xml:space="preserve"> and a 14-year old piano student, Clementini, </w:t>
      </w:r>
      <w:r w:rsidRPr="008F254A">
        <w:rPr>
          <w:rFonts w:ascii="Times New Roman" w:hAnsi="Times New Roman" w:cs="Times New Roman"/>
          <w:i/>
          <w:sz w:val="18"/>
          <w:szCs w:val="18"/>
        </w:rPr>
        <w:t>Sonatina Op 36, #1</w:t>
      </w:r>
      <w:r w:rsidRPr="008F254A">
        <w:rPr>
          <w:rFonts w:ascii="Times New Roman" w:hAnsi="Times New Roman" w:cs="Times New Roman"/>
          <w:sz w:val="18"/>
          <w:szCs w:val="18"/>
        </w:rPr>
        <w:t xml:space="preserve">). </w:t>
      </w:r>
    </w:p>
    <w:p w:rsidR="001C31EA" w:rsidRDefault="008F254A" w:rsidP="009B3B01">
      <w:pPr>
        <w:spacing w:before="140" w:after="0" w:line="219" w:lineRule="exact"/>
        <w:jc w:val="both"/>
        <w:rPr>
          <w:rFonts w:ascii="Times New Roman" w:hAnsi="Times New Roman" w:cs="Times New Roman"/>
          <w:sz w:val="18"/>
          <w:szCs w:val="18"/>
        </w:rPr>
      </w:pPr>
      <w:r w:rsidRPr="008F254A">
        <w:rPr>
          <w:rFonts w:ascii="Times New Roman" w:hAnsi="Times New Roman" w:cs="Times New Roman"/>
          <w:sz w:val="18"/>
          <w:szCs w:val="18"/>
        </w:rPr>
        <w:t xml:space="preserve">We </w:t>
      </w:r>
      <w:r w:rsidR="007643E2">
        <w:rPr>
          <w:rFonts w:ascii="Times New Roman" w:hAnsi="Times New Roman" w:cs="Times New Roman"/>
          <w:sz w:val="18"/>
          <w:szCs w:val="18"/>
        </w:rPr>
        <w:t>examined the density with which PCs were distributed across a piece</w:t>
      </w:r>
      <w:r w:rsidR="007643E2" w:rsidRPr="008F254A">
        <w:rPr>
          <w:rFonts w:ascii="Times New Roman" w:hAnsi="Times New Roman" w:cs="Times New Roman"/>
          <w:sz w:val="18"/>
          <w:szCs w:val="18"/>
        </w:rPr>
        <w:t xml:space="preserve"> </w:t>
      </w:r>
      <w:r w:rsidR="007643E2">
        <w:rPr>
          <w:rFonts w:ascii="Times New Roman" w:hAnsi="Times New Roman" w:cs="Times New Roman"/>
          <w:sz w:val="18"/>
          <w:szCs w:val="18"/>
        </w:rPr>
        <w:t xml:space="preserve">by </w:t>
      </w:r>
      <w:r w:rsidRPr="008F254A">
        <w:rPr>
          <w:rFonts w:ascii="Times New Roman" w:hAnsi="Times New Roman" w:cs="Times New Roman"/>
          <w:sz w:val="18"/>
          <w:szCs w:val="18"/>
        </w:rPr>
        <w:t>count</w:t>
      </w:r>
      <w:r w:rsidR="007643E2">
        <w:rPr>
          <w:rFonts w:ascii="Times New Roman" w:hAnsi="Times New Roman" w:cs="Times New Roman"/>
          <w:sz w:val="18"/>
          <w:szCs w:val="18"/>
        </w:rPr>
        <w:t>ing</w:t>
      </w:r>
      <w:r w:rsidRPr="008F254A">
        <w:rPr>
          <w:rFonts w:ascii="Times New Roman" w:hAnsi="Times New Roman" w:cs="Times New Roman"/>
          <w:sz w:val="18"/>
          <w:szCs w:val="18"/>
        </w:rPr>
        <w:t xml:space="preserve"> the number </w:t>
      </w:r>
      <w:r w:rsidR="00AE6B01">
        <w:rPr>
          <w:rFonts w:ascii="Times New Roman" w:hAnsi="Times New Roman" w:cs="Times New Roman"/>
          <w:sz w:val="18"/>
          <w:szCs w:val="18"/>
        </w:rPr>
        <w:t xml:space="preserve">of </w:t>
      </w:r>
      <w:r w:rsidR="005D4319">
        <w:rPr>
          <w:rFonts w:ascii="Times New Roman" w:hAnsi="Times New Roman" w:cs="Times New Roman"/>
          <w:sz w:val="18"/>
          <w:szCs w:val="18"/>
        </w:rPr>
        <w:t xml:space="preserve">bars containing </w:t>
      </w:r>
      <w:r w:rsidRPr="008F254A">
        <w:rPr>
          <w:rFonts w:ascii="Times New Roman" w:hAnsi="Times New Roman" w:cs="Times New Roman"/>
          <w:sz w:val="18"/>
          <w:szCs w:val="18"/>
        </w:rPr>
        <w:t>PCs of eac</w:t>
      </w:r>
      <w:r>
        <w:rPr>
          <w:rFonts w:ascii="Times New Roman" w:hAnsi="Times New Roman" w:cs="Times New Roman"/>
          <w:sz w:val="18"/>
          <w:szCs w:val="18"/>
        </w:rPr>
        <w:t>h type</w:t>
      </w:r>
      <w:r w:rsidR="001E3953">
        <w:rPr>
          <w:rFonts w:ascii="Times New Roman" w:hAnsi="Times New Roman" w:cs="Times New Roman"/>
          <w:sz w:val="18"/>
          <w:szCs w:val="18"/>
        </w:rPr>
        <w:t xml:space="preserve">. </w:t>
      </w:r>
      <w:r w:rsidR="005D4319">
        <w:rPr>
          <w:rFonts w:ascii="Times New Roman" w:hAnsi="Times New Roman" w:cs="Times New Roman"/>
          <w:sz w:val="18"/>
          <w:szCs w:val="18"/>
        </w:rPr>
        <w:t xml:space="preserve">This approach involved substantial simplification of the </w:t>
      </w:r>
      <w:r w:rsidR="00CA1E4E">
        <w:rPr>
          <w:rFonts w:ascii="Times New Roman" w:hAnsi="Times New Roman" w:cs="Times New Roman"/>
          <w:sz w:val="18"/>
          <w:szCs w:val="18"/>
        </w:rPr>
        <w:t>reports</w:t>
      </w:r>
      <w:r w:rsidR="005D4319">
        <w:rPr>
          <w:rFonts w:ascii="Times New Roman" w:hAnsi="Times New Roman" w:cs="Times New Roman"/>
          <w:sz w:val="18"/>
          <w:szCs w:val="18"/>
        </w:rPr>
        <w:t xml:space="preserve"> since it ignored both the location of PCs within bars and the presence of multiple PCs of the same type within the same bar. We also made </w:t>
      </w:r>
      <w:r w:rsidR="005D4319">
        <w:rPr>
          <w:rFonts w:ascii="Times New Roman" w:hAnsi="Times New Roman" w:cs="Times New Roman"/>
          <w:sz w:val="18"/>
          <w:szCs w:val="20"/>
        </w:rPr>
        <w:t>n</w:t>
      </w:r>
      <w:r w:rsidR="005D4319" w:rsidRPr="008F254A">
        <w:rPr>
          <w:rFonts w:ascii="Times New Roman" w:hAnsi="Times New Roman" w:cs="Times New Roman"/>
          <w:sz w:val="18"/>
          <w:szCs w:val="20"/>
        </w:rPr>
        <w:t xml:space="preserve">o attempt to compare the qualitative content of the PCs reported. </w:t>
      </w:r>
      <w:r w:rsidR="005D4319">
        <w:rPr>
          <w:rFonts w:ascii="Times New Roman" w:hAnsi="Times New Roman" w:cs="Times New Roman"/>
          <w:sz w:val="18"/>
          <w:szCs w:val="20"/>
        </w:rPr>
        <w:t xml:space="preserve"> Q</w:t>
      </w:r>
      <w:r w:rsidR="005D4319" w:rsidRPr="008F254A">
        <w:rPr>
          <w:rFonts w:ascii="Times New Roman" w:hAnsi="Times New Roman" w:cs="Times New Roman"/>
          <w:sz w:val="18"/>
          <w:szCs w:val="20"/>
        </w:rPr>
        <w:t xml:space="preserve">ualitative comparison of the content </w:t>
      </w:r>
      <w:r w:rsidR="00AE6B01">
        <w:rPr>
          <w:rFonts w:ascii="Times New Roman" w:hAnsi="Times New Roman" w:cs="Times New Roman"/>
          <w:sz w:val="18"/>
          <w:szCs w:val="20"/>
        </w:rPr>
        <w:t xml:space="preserve">of </w:t>
      </w:r>
      <w:r w:rsidR="005D4319" w:rsidRPr="008F254A">
        <w:rPr>
          <w:rFonts w:ascii="Times New Roman" w:hAnsi="Times New Roman" w:cs="Times New Roman"/>
          <w:sz w:val="18"/>
          <w:szCs w:val="20"/>
        </w:rPr>
        <w:t xml:space="preserve">each PC was not possible because PCs were (in most cases) identified only by location and were not further described. </w:t>
      </w:r>
      <w:r w:rsidRPr="008F254A">
        <w:rPr>
          <w:rFonts w:ascii="Times New Roman" w:hAnsi="Times New Roman" w:cs="Times New Roman"/>
          <w:sz w:val="18"/>
          <w:szCs w:val="18"/>
        </w:rPr>
        <w:t>To allow comparison across pieces, frequencies were normalized by dividing by the number of beats in each piece.</w:t>
      </w:r>
    </w:p>
    <w:p w:rsidR="005D4319" w:rsidRDefault="005D4319" w:rsidP="005D4319">
      <w:pPr>
        <w:pStyle w:val="ICOMCSHead2"/>
        <w:spacing w:before="140" w:line="219" w:lineRule="exact"/>
        <w:ind w:left="0" w:firstLine="0"/>
        <w:outlineLvl w:val="0"/>
        <w:rPr>
          <w:rFonts w:cs="Times New Roman"/>
          <w:sz w:val="20"/>
          <w:szCs w:val="20"/>
        </w:rPr>
      </w:pPr>
      <w:r w:rsidRPr="008F254A">
        <w:rPr>
          <w:rFonts w:cs="Times New Roman"/>
          <w:sz w:val="20"/>
          <w:szCs w:val="20"/>
        </w:rPr>
        <w:lastRenderedPageBreak/>
        <w:t xml:space="preserve">Results. </w:t>
      </w:r>
    </w:p>
    <w:p w:rsidR="00E436DD" w:rsidRDefault="00E436DD" w:rsidP="00E436DD">
      <w:pPr>
        <w:spacing w:before="140" w:after="0" w:line="219" w:lineRule="exact"/>
        <w:jc w:val="both"/>
        <w:rPr>
          <w:rFonts w:ascii="Times New Roman" w:hAnsi="Times New Roman" w:cs="Times New Roman"/>
          <w:sz w:val="18"/>
          <w:szCs w:val="20"/>
        </w:rPr>
      </w:pPr>
      <w:r>
        <w:rPr>
          <w:rFonts w:ascii="Times New Roman" w:hAnsi="Times New Roman" w:cs="Times New Roman"/>
          <w:sz w:val="18"/>
          <w:szCs w:val="20"/>
        </w:rPr>
        <w:t xml:space="preserve">The number of PCs increased with the experience of the musician and difficulty of the piece. </w:t>
      </w:r>
      <w:r w:rsidRPr="008F254A">
        <w:rPr>
          <w:rFonts w:ascii="Times New Roman" w:hAnsi="Times New Roman" w:cs="Times New Roman"/>
          <w:sz w:val="18"/>
          <w:szCs w:val="20"/>
        </w:rPr>
        <w:t xml:space="preserve">Figure 1 shows the number of PCs of each type for each piece. </w:t>
      </w:r>
      <w:r>
        <w:rPr>
          <w:rFonts w:ascii="Times New Roman" w:hAnsi="Times New Roman" w:cs="Times New Roman"/>
          <w:sz w:val="18"/>
          <w:szCs w:val="20"/>
        </w:rPr>
        <w:t xml:space="preserve"> </w:t>
      </w:r>
      <w:r w:rsidRPr="008F254A">
        <w:rPr>
          <w:rFonts w:ascii="Times New Roman" w:hAnsi="Times New Roman" w:cs="Times New Roman"/>
          <w:sz w:val="18"/>
          <w:szCs w:val="20"/>
        </w:rPr>
        <w:t xml:space="preserve">The trumpet and grade-school students reported fewer PCs than other musicians by an order of magnitude. </w:t>
      </w:r>
      <w:r>
        <w:rPr>
          <w:rFonts w:ascii="Times New Roman" w:hAnsi="Times New Roman" w:cs="Times New Roman"/>
          <w:sz w:val="18"/>
          <w:szCs w:val="20"/>
        </w:rPr>
        <w:t xml:space="preserve"> </w:t>
      </w:r>
      <w:r w:rsidRPr="008F254A">
        <w:rPr>
          <w:rFonts w:ascii="Times New Roman" w:hAnsi="Times New Roman" w:cs="Times New Roman"/>
          <w:sz w:val="18"/>
          <w:szCs w:val="20"/>
        </w:rPr>
        <w:t xml:space="preserve">For the </w:t>
      </w:r>
      <w:r w:rsidRPr="008F254A">
        <w:rPr>
          <w:rFonts w:ascii="Times New Roman" w:hAnsi="Times New Roman" w:cs="Times New Roman"/>
          <w:i/>
          <w:sz w:val="18"/>
          <w:szCs w:val="20"/>
        </w:rPr>
        <w:t>Presto</w:t>
      </w:r>
      <w:r w:rsidRPr="008F254A">
        <w:rPr>
          <w:rFonts w:ascii="Times New Roman" w:hAnsi="Times New Roman" w:cs="Times New Roman"/>
          <w:sz w:val="18"/>
          <w:szCs w:val="20"/>
        </w:rPr>
        <w:t xml:space="preserve">, the two students reported fewer PCs than </w:t>
      </w:r>
      <w:r>
        <w:rPr>
          <w:rFonts w:ascii="Times New Roman" w:hAnsi="Times New Roman" w:cs="Times New Roman"/>
          <w:sz w:val="18"/>
          <w:szCs w:val="20"/>
        </w:rPr>
        <w:t xml:space="preserve">did </w:t>
      </w:r>
      <w:r w:rsidRPr="008F254A">
        <w:rPr>
          <w:rFonts w:ascii="Times New Roman" w:hAnsi="Times New Roman" w:cs="Times New Roman"/>
          <w:sz w:val="18"/>
          <w:szCs w:val="20"/>
        </w:rPr>
        <w:t xml:space="preserve">the professional.  The professional pianist (Imreh) reported fewer PCs for the easier (for her) </w:t>
      </w:r>
      <w:r w:rsidRPr="008F254A">
        <w:rPr>
          <w:rFonts w:ascii="Times New Roman" w:hAnsi="Times New Roman" w:cs="Times New Roman"/>
          <w:i/>
          <w:sz w:val="18"/>
          <w:szCs w:val="20"/>
        </w:rPr>
        <w:t>Clair de Lune</w:t>
      </w:r>
      <w:r w:rsidRPr="008F254A">
        <w:rPr>
          <w:rFonts w:ascii="Times New Roman" w:hAnsi="Times New Roman" w:cs="Times New Roman"/>
          <w:sz w:val="18"/>
          <w:szCs w:val="20"/>
        </w:rPr>
        <w:t xml:space="preserve"> than for the challenging </w:t>
      </w:r>
      <w:r w:rsidRPr="008F254A">
        <w:rPr>
          <w:rFonts w:ascii="Times New Roman" w:hAnsi="Times New Roman" w:cs="Times New Roman"/>
          <w:i/>
          <w:sz w:val="18"/>
          <w:szCs w:val="20"/>
        </w:rPr>
        <w:t>Presto</w:t>
      </w:r>
      <w:r w:rsidRPr="008F254A">
        <w:rPr>
          <w:rFonts w:ascii="Times New Roman" w:hAnsi="Times New Roman" w:cs="Times New Roman"/>
          <w:sz w:val="18"/>
          <w:szCs w:val="20"/>
        </w:rPr>
        <w:t xml:space="preserve">. With the exception of the </w:t>
      </w:r>
      <w:r w:rsidRPr="008F254A">
        <w:rPr>
          <w:rFonts w:ascii="Times New Roman" w:hAnsi="Times New Roman" w:cs="Times New Roman"/>
          <w:i/>
          <w:sz w:val="18"/>
          <w:szCs w:val="20"/>
        </w:rPr>
        <w:t>Presto</w:t>
      </w:r>
      <w:r w:rsidRPr="008F254A">
        <w:rPr>
          <w:rFonts w:ascii="Times New Roman" w:hAnsi="Times New Roman" w:cs="Times New Roman"/>
          <w:sz w:val="18"/>
          <w:szCs w:val="20"/>
        </w:rPr>
        <w:t xml:space="preserve">, the four professionals all reported </w:t>
      </w:r>
      <w:r>
        <w:rPr>
          <w:rFonts w:ascii="Times New Roman" w:hAnsi="Times New Roman" w:cs="Times New Roman"/>
          <w:sz w:val="18"/>
          <w:szCs w:val="20"/>
        </w:rPr>
        <w:t xml:space="preserve">roughly </w:t>
      </w:r>
      <w:r w:rsidRPr="008F254A">
        <w:rPr>
          <w:rFonts w:ascii="Times New Roman" w:hAnsi="Times New Roman" w:cs="Times New Roman"/>
          <w:sz w:val="18"/>
          <w:szCs w:val="20"/>
        </w:rPr>
        <w:t xml:space="preserve">similar numbers of PCs. </w:t>
      </w:r>
    </w:p>
    <w:p w:rsidR="001C31EA" w:rsidRPr="008F254A" w:rsidRDefault="00AE6113" w:rsidP="001C31EA">
      <w:pPr>
        <w:spacing w:before="140" w:after="0" w:line="219" w:lineRule="exact"/>
        <w:jc w:val="both"/>
        <w:rPr>
          <w:rFonts w:ascii="Times New Roman" w:hAnsi="Times New Roman" w:cs="Times New Roman"/>
          <w:sz w:val="18"/>
          <w:szCs w:val="20"/>
        </w:rPr>
      </w:pPr>
      <w:r>
        <w:rPr>
          <w:rFonts w:ascii="Times New Roman" w:eastAsia="Times New Roman" w:hAnsi="Times New Roman" w:cs="Times New Roman"/>
          <w:b/>
          <w:noProof/>
          <w:sz w:val="18"/>
          <w:szCs w:val="20"/>
        </w:rPr>
        <w:drawing>
          <wp:anchor distT="0" distB="0" distL="114300" distR="114300" simplePos="0" relativeHeight="251677696" behindDoc="0" locked="0" layoutInCell="0" allowOverlap="0">
            <wp:simplePos x="0" y="0"/>
            <wp:positionH relativeFrom="leftMargin">
              <wp:posOffset>974725</wp:posOffset>
            </wp:positionH>
            <wp:positionV relativeFrom="topMargin">
              <wp:posOffset>2433955</wp:posOffset>
            </wp:positionV>
            <wp:extent cx="2652395" cy="1703705"/>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52395" cy="1703705"/>
                    </a:xfrm>
                    <a:prstGeom prst="rect">
                      <a:avLst/>
                    </a:prstGeom>
                    <a:noFill/>
                  </pic:spPr>
                </pic:pic>
              </a:graphicData>
            </a:graphic>
          </wp:anchor>
        </w:drawing>
      </w:r>
      <w:r w:rsidR="001C31EA" w:rsidRPr="008F254A">
        <w:rPr>
          <w:rFonts w:ascii="Times New Roman" w:eastAsia="Times New Roman" w:hAnsi="Times New Roman" w:cs="Times New Roman"/>
          <w:b/>
          <w:sz w:val="18"/>
          <w:szCs w:val="20"/>
          <w:lang w:eastAsia="en-GB"/>
        </w:rPr>
        <w:t>Figure 1</w:t>
      </w:r>
      <w:r w:rsidR="00A300F4">
        <w:rPr>
          <w:rFonts w:ascii="Times New Roman" w:eastAsia="Times New Roman" w:hAnsi="Times New Roman" w:cs="Times New Roman"/>
          <w:b/>
          <w:sz w:val="18"/>
          <w:szCs w:val="20"/>
          <w:lang w:eastAsia="en-GB"/>
        </w:rPr>
        <w:t>:</w:t>
      </w:r>
      <w:r w:rsidR="001C31EA" w:rsidRPr="008F254A">
        <w:rPr>
          <w:rFonts w:ascii="Times New Roman" w:hAnsi="Times New Roman" w:cs="Times New Roman"/>
          <w:sz w:val="18"/>
          <w:szCs w:val="20"/>
        </w:rPr>
        <w:t xml:space="preserve"> Number of performance cues per beat for different musicians and pieces.  </w:t>
      </w:r>
    </w:p>
    <w:p w:rsidR="008F254A" w:rsidRPr="00B82B2A" w:rsidRDefault="00E37EC3" w:rsidP="008F254A">
      <w:pPr>
        <w:spacing w:before="140" w:after="0" w:line="219" w:lineRule="exact"/>
        <w:jc w:val="both"/>
        <w:rPr>
          <w:rFonts w:ascii="Times New Roman" w:hAnsi="Times New Roman" w:cs="Times New Roman"/>
          <w:sz w:val="18"/>
          <w:szCs w:val="20"/>
        </w:rPr>
      </w:pPr>
      <w:r>
        <w:rPr>
          <w:rFonts w:ascii="Times New Roman" w:eastAsia="Times New Roman" w:hAnsi="Times New Roman" w:cs="Times New Roman"/>
          <w:b/>
          <w:noProof/>
          <w:sz w:val="18"/>
          <w:szCs w:val="20"/>
        </w:rPr>
        <w:drawing>
          <wp:anchor distT="0" distB="0" distL="114300" distR="114300" simplePos="0" relativeHeight="251674624" behindDoc="0" locked="0" layoutInCell="0" allowOverlap="0">
            <wp:simplePos x="0" y="0"/>
            <wp:positionH relativeFrom="column">
              <wp:posOffset>2861945</wp:posOffset>
            </wp:positionH>
            <wp:positionV relativeFrom="topMargin">
              <wp:posOffset>6252210</wp:posOffset>
            </wp:positionV>
            <wp:extent cx="2735580" cy="1757045"/>
            <wp:effectExtent l="1905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35580" cy="1757045"/>
                    </a:xfrm>
                    <a:prstGeom prst="rect">
                      <a:avLst/>
                    </a:prstGeom>
                    <a:noFill/>
                  </pic:spPr>
                </pic:pic>
              </a:graphicData>
            </a:graphic>
          </wp:anchor>
        </w:drawing>
      </w:r>
      <w:r w:rsidR="008F254A" w:rsidRPr="00B82B2A">
        <w:rPr>
          <w:rFonts w:ascii="Times New Roman" w:eastAsia="Times New Roman" w:hAnsi="Times New Roman" w:cs="Times New Roman"/>
          <w:b/>
          <w:sz w:val="18"/>
          <w:szCs w:val="20"/>
          <w:lang w:eastAsia="en-GB"/>
        </w:rPr>
        <w:t>Figure 2</w:t>
      </w:r>
      <w:r w:rsidR="00A300F4">
        <w:rPr>
          <w:rFonts w:ascii="Times New Roman" w:eastAsia="Times New Roman" w:hAnsi="Times New Roman" w:cs="Times New Roman"/>
          <w:b/>
          <w:sz w:val="18"/>
          <w:szCs w:val="20"/>
          <w:lang w:eastAsia="en-GB"/>
        </w:rPr>
        <w:t>:</w:t>
      </w:r>
      <w:r w:rsidR="008F254A" w:rsidRPr="00B82B2A">
        <w:rPr>
          <w:rFonts w:ascii="Times New Roman" w:hAnsi="Times New Roman" w:cs="Times New Roman"/>
          <w:sz w:val="18"/>
          <w:szCs w:val="20"/>
        </w:rPr>
        <w:t xml:space="preserve"> </w:t>
      </w:r>
      <w:r w:rsidR="008F254A" w:rsidRPr="00B82B2A">
        <w:rPr>
          <w:rFonts w:ascii="Times New Roman" w:eastAsia="Times New Roman" w:hAnsi="Times New Roman" w:cs="Times New Roman"/>
          <w:sz w:val="18"/>
          <w:szCs w:val="20"/>
          <w:lang w:eastAsia="en-GB"/>
        </w:rPr>
        <w:t xml:space="preserve">Percent of PCs of each type (normalized over number of beats) </w:t>
      </w:r>
      <w:r w:rsidR="008F254A" w:rsidRPr="00B82B2A">
        <w:rPr>
          <w:rFonts w:ascii="Times New Roman" w:hAnsi="Times New Roman" w:cs="Times New Roman"/>
          <w:sz w:val="18"/>
          <w:szCs w:val="20"/>
        </w:rPr>
        <w:t xml:space="preserve">for different musicians and pieces. </w:t>
      </w:r>
    </w:p>
    <w:p w:rsidR="008F254A" w:rsidRPr="008F254A" w:rsidRDefault="008F254A" w:rsidP="008F254A">
      <w:pPr>
        <w:spacing w:before="140" w:after="0" w:line="219" w:lineRule="exact"/>
        <w:jc w:val="both"/>
        <w:rPr>
          <w:rFonts w:ascii="Times New Roman" w:hAnsi="Times New Roman" w:cs="Times New Roman"/>
          <w:sz w:val="18"/>
          <w:szCs w:val="18"/>
        </w:rPr>
      </w:pPr>
      <w:r w:rsidRPr="008F254A">
        <w:rPr>
          <w:rFonts w:ascii="Times New Roman" w:hAnsi="Times New Roman" w:cs="Times New Roman"/>
          <w:sz w:val="18"/>
          <w:szCs w:val="18"/>
        </w:rPr>
        <w:t xml:space="preserve">Figure 2 shows the number of PCs of each type as a percentage of the total reported (normalized by number of beats). </w:t>
      </w:r>
      <w:r w:rsidR="001E3953">
        <w:rPr>
          <w:rFonts w:ascii="Times New Roman" w:hAnsi="Times New Roman" w:cs="Times New Roman"/>
          <w:sz w:val="18"/>
          <w:szCs w:val="18"/>
        </w:rPr>
        <w:t xml:space="preserve"> </w:t>
      </w:r>
      <w:r w:rsidRPr="008F254A">
        <w:rPr>
          <w:rFonts w:ascii="Times New Roman" w:hAnsi="Times New Roman" w:cs="Times New Roman"/>
          <w:sz w:val="18"/>
          <w:szCs w:val="18"/>
        </w:rPr>
        <w:t>Experience mattered.  The professionals used more basic PCs than any other type</w:t>
      </w:r>
      <w:r w:rsidR="000316AC">
        <w:rPr>
          <w:rFonts w:ascii="Times New Roman" w:hAnsi="Times New Roman" w:cs="Times New Roman"/>
          <w:sz w:val="18"/>
          <w:szCs w:val="18"/>
        </w:rPr>
        <w:t>, w</w:t>
      </w:r>
      <w:r w:rsidR="001E3953">
        <w:rPr>
          <w:rFonts w:ascii="Times New Roman" w:hAnsi="Times New Roman" w:cs="Times New Roman"/>
          <w:sz w:val="18"/>
          <w:szCs w:val="18"/>
        </w:rPr>
        <w:t>hile t</w:t>
      </w:r>
      <w:r w:rsidRPr="008F254A">
        <w:rPr>
          <w:rFonts w:ascii="Times New Roman" w:hAnsi="Times New Roman" w:cs="Times New Roman"/>
          <w:sz w:val="18"/>
          <w:szCs w:val="18"/>
        </w:rPr>
        <w:t xml:space="preserve">he college students </w:t>
      </w:r>
      <w:r w:rsidR="001E3953">
        <w:rPr>
          <w:rFonts w:ascii="Times New Roman" w:hAnsi="Times New Roman" w:cs="Times New Roman"/>
          <w:sz w:val="18"/>
          <w:szCs w:val="18"/>
        </w:rPr>
        <w:t xml:space="preserve">used </w:t>
      </w:r>
      <w:r w:rsidRPr="008F254A">
        <w:rPr>
          <w:rFonts w:ascii="Times New Roman" w:hAnsi="Times New Roman" w:cs="Times New Roman"/>
          <w:sz w:val="18"/>
          <w:szCs w:val="18"/>
        </w:rPr>
        <w:t xml:space="preserve">more interpretive PCs and the grade school student (and trumpeter) </w:t>
      </w:r>
      <w:r w:rsidR="001E3953">
        <w:rPr>
          <w:rFonts w:ascii="Times New Roman" w:hAnsi="Times New Roman" w:cs="Times New Roman"/>
          <w:sz w:val="18"/>
          <w:szCs w:val="18"/>
        </w:rPr>
        <w:t xml:space="preserve">used </w:t>
      </w:r>
      <w:r w:rsidRPr="008F254A">
        <w:rPr>
          <w:rFonts w:ascii="Times New Roman" w:hAnsi="Times New Roman" w:cs="Times New Roman"/>
          <w:sz w:val="18"/>
          <w:szCs w:val="18"/>
        </w:rPr>
        <w:t xml:space="preserve">more structural PCs. </w:t>
      </w:r>
      <w:r w:rsidR="001E3953">
        <w:rPr>
          <w:rFonts w:ascii="Times New Roman" w:hAnsi="Times New Roman" w:cs="Times New Roman"/>
          <w:sz w:val="18"/>
          <w:szCs w:val="18"/>
        </w:rPr>
        <w:t xml:space="preserve"> </w:t>
      </w:r>
      <w:r w:rsidRPr="008F254A">
        <w:rPr>
          <w:rFonts w:ascii="Times New Roman" w:hAnsi="Times New Roman" w:cs="Times New Roman"/>
          <w:sz w:val="18"/>
          <w:szCs w:val="18"/>
        </w:rPr>
        <w:t>The difference</w:t>
      </w:r>
      <w:r w:rsidR="000E03F1">
        <w:rPr>
          <w:rFonts w:ascii="Times New Roman" w:hAnsi="Times New Roman" w:cs="Times New Roman"/>
          <w:sz w:val="18"/>
          <w:szCs w:val="18"/>
        </w:rPr>
        <w:t>s</w:t>
      </w:r>
      <w:r w:rsidRPr="008F254A">
        <w:rPr>
          <w:rFonts w:ascii="Times New Roman" w:hAnsi="Times New Roman" w:cs="Times New Roman"/>
          <w:sz w:val="18"/>
          <w:szCs w:val="18"/>
        </w:rPr>
        <w:t xml:space="preserve"> may reflect that fact that the professionals had higher standards of technical competence for themselves </w:t>
      </w:r>
      <w:r w:rsidR="000E03F1">
        <w:rPr>
          <w:rFonts w:ascii="Times New Roman" w:hAnsi="Times New Roman" w:cs="Times New Roman"/>
          <w:sz w:val="18"/>
          <w:szCs w:val="18"/>
        </w:rPr>
        <w:t>wh</w:t>
      </w:r>
      <w:r w:rsidR="00AE6B01">
        <w:rPr>
          <w:rFonts w:ascii="Times New Roman" w:hAnsi="Times New Roman" w:cs="Times New Roman"/>
          <w:sz w:val="18"/>
          <w:szCs w:val="18"/>
        </w:rPr>
        <w:t>ereas</w:t>
      </w:r>
      <w:r w:rsidR="000E03F1">
        <w:rPr>
          <w:rFonts w:ascii="Times New Roman" w:hAnsi="Times New Roman" w:cs="Times New Roman"/>
          <w:sz w:val="18"/>
          <w:szCs w:val="18"/>
        </w:rPr>
        <w:t xml:space="preserve"> the grade school student and trumpeter had less detailed musical images for their performances</w:t>
      </w:r>
      <w:r w:rsidRPr="008F254A">
        <w:rPr>
          <w:rFonts w:ascii="Times New Roman" w:hAnsi="Times New Roman" w:cs="Times New Roman"/>
          <w:sz w:val="18"/>
          <w:szCs w:val="18"/>
        </w:rPr>
        <w:t xml:space="preserve">. </w:t>
      </w:r>
    </w:p>
    <w:p w:rsidR="00457300" w:rsidRDefault="00D770A7" w:rsidP="00D770A7">
      <w:pPr>
        <w:spacing w:before="140" w:line="219" w:lineRule="exact"/>
        <w:jc w:val="both"/>
        <w:rPr>
          <w:rFonts w:ascii="Times New Roman" w:hAnsi="Times New Roman"/>
          <w:sz w:val="18"/>
          <w:szCs w:val="18"/>
        </w:rPr>
      </w:pPr>
      <w:r>
        <w:rPr>
          <w:rFonts w:ascii="Times New Roman" w:hAnsi="Times New Roman"/>
          <w:sz w:val="18"/>
          <w:szCs w:val="18"/>
        </w:rPr>
        <w:t xml:space="preserve">For the professionals, basic PCs made up 38-72% of the total number of PCs. The percentage of PCs was lowest for the </w:t>
      </w:r>
      <w:r>
        <w:rPr>
          <w:rFonts w:ascii="Times New Roman" w:hAnsi="Times New Roman"/>
          <w:i/>
          <w:iCs/>
          <w:sz w:val="18"/>
          <w:szCs w:val="18"/>
        </w:rPr>
        <w:t xml:space="preserve">Presto </w:t>
      </w:r>
      <w:r>
        <w:rPr>
          <w:rFonts w:ascii="Times New Roman" w:hAnsi="Times New Roman"/>
          <w:sz w:val="18"/>
          <w:szCs w:val="18"/>
        </w:rPr>
        <w:t xml:space="preserve">and highest for the </w:t>
      </w:r>
      <w:r>
        <w:rPr>
          <w:rFonts w:ascii="Times New Roman" w:hAnsi="Times New Roman"/>
          <w:i/>
          <w:iCs/>
          <w:sz w:val="18"/>
          <w:szCs w:val="18"/>
        </w:rPr>
        <w:t xml:space="preserve">Prelude. </w:t>
      </w:r>
      <w:r w:rsidR="009B3B01">
        <w:rPr>
          <w:rFonts w:ascii="Times New Roman" w:hAnsi="Times New Roman"/>
          <w:iCs/>
          <w:sz w:val="18"/>
          <w:szCs w:val="18"/>
        </w:rPr>
        <w:t>The comparison is instructive because b</w:t>
      </w:r>
      <w:r>
        <w:rPr>
          <w:rFonts w:ascii="Times New Roman" w:hAnsi="Times New Roman"/>
          <w:sz w:val="18"/>
          <w:szCs w:val="18"/>
        </w:rPr>
        <w:t xml:space="preserve">oth pieces received approximately the same amount of preparation, more than 30 hours of practice over many months. The difference </w:t>
      </w:r>
      <w:r w:rsidR="009B3B01">
        <w:rPr>
          <w:rFonts w:ascii="Times New Roman" w:hAnsi="Times New Roman"/>
          <w:sz w:val="18"/>
          <w:szCs w:val="18"/>
        </w:rPr>
        <w:t>between the</w:t>
      </w:r>
      <w:r w:rsidR="006E3519">
        <w:rPr>
          <w:rFonts w:ascii="Times New Roman" w:hAnsi="Times New Roman"/>
          <w:sz w:val="18"/>
          <w:szCs w:val="18"/>
        </w:rPr>
        <w:t xml:space="preserve"> two pieces</w:t>
      </w:r>
      <w:r w:rsidR="009B3B01">
        <w:rPr>
          <w:rFonts w:ascii="Times New Roman" w:hAnsi="Times New Roman"/>
          <w:sz w:val="18"/>
          <w:szCs w:val="18"/>
        </w:rPr>
        <w:t xml:space="preserve"> </w:t>
      </w:r>
      <w:r>
        <w:rPr>
          <w:rFonts w:ascii="Times New Roman" w:hAnsi="Times New Roman"/>
          <w:sz w:val="18"/>
          <w:szCs w:val="18"/>
        </w:rPr>
        <w:t xml:space="preserve">may reflect differences in </w:t>
      </w:r>
      <w:r w:rsidR="006E3519">
        <w:rPr>
          <w:rFonts w:ascii="Times New Roman" w:hAnsi="Times New Roman"/>
          <w:sz w:val="18"/>
          <w:szCs w:val="18"/>
        </w:rPr>
        <w:t xml:space="preserve">the </w:t>
      </w:r>
      <w:r>
        <w:rPr>
          <w:rFonts w:ascii="Times New Roman" w:hAnsi="Times New Roman"/>
          <w:sz w:val="18"/>
          <w:szCs w:val="18"/>
        </w:rPr>
        <w:t>strateg</w:t>
      </w:r>
      <w:r w:rsidR="006E3519">
        <w:rPr>
          <w:rFonts w:ascii="Times New Roman" w:hAnsi="Times New Roman"/>
          <w:sz w:val="18"/>
          <w:szCs w:val="18"/>
        </w:rPr>
        <w:t xml:space="preserve">ies of </w:t>
      </w:r>
      <w:r>
        <w:rPr>
          <w:rFonts w:ascii="Times New Roman" w:hAnsi="Times New Roman"/>
          <w:sz w:val="18"/>
          <w:szCs w:val="18"/>
        </w:rPr>
        <w:t xml:space="preserve">the two musicians </w:t>
      </w:r>
      <w:r w:rsidR="006E3519">
        <w:rPr>
          <w:rFonts w:ascii="Times New Roman" w:hAnsi="Times New Roman"/>
          <w:sz w:val="18"/>
          <w:szCs w:val="18"/>
        </w:rPr>
        <w:t xml:space="preserve">related to their goals for </w:t>
      </w:r>
      <w:r>
        <w:rPr>
          <w:rFonts w:ascii="Times New Roman" w:hAnsi="Times New Roman"/>
          <w:sz w:val="18"/>
          <w:szCs w:val="18"/>
        </w:rPr>
        <w:t xml:space="preserve">performance. </w:t>
      </w:r>
      <w:r w:rsidR="001E3953">
        <w:rPr>
          <w:rFonts w:ascii="Times New Roman" w:hAnsi="Times New Roman"/>
          <w:sz w:val="18"/>
          <w:szCs w:val="18"/>
        </w:rPr>
        <w:t xml:space="preserve"> </w:t>
      </w:r>
      <w:r>
        <w:rPr>
          <w:rFonts w:ascii="Times New Roman" w:hAnsi="Times New Roman"/>
          <w:sz w:val="18"/>
          <w:szCs w:val="18"/>
        </w:rPr>
        <w:t xml:space="preserve">Both undertook the self-study in order to develop their performance skills. The pianist, however, prepared the </w:t>
      </w:r>
      <w:r>
        <w:rPr>
          <w:rFonts w:ascii="Times New Roman" w:hAnsi="Times New Roman"/>
          <w:i/>
          <w:iCs/>
          <w:sz w:val="18"/>
          <w:szCs w:val="18"/>
        </w:rPr>
        <w:t xml:space="preserve">Presto </w:t>
      </w:r>
      <w:r>
        <w:rPr>
          <w:rFonts w:ascii="Times New Roman" w:hAnsi="Times New Roman"/>
          <w:sz w:val="18"/>
          <w:szCs w:val="18"/>
        </w:rPr>
        <w:t>for her first CD recording, an important step in her career</w:t>
      </w:r>
      <w:r w:rsidRPr="00D770A7">
        <w:rPr>
          <w:rFonts w:ascii="Times New Roman" w:hAnsi="Times New Roman"/>
          <w:sz w:val="18"/>
          <w:szCs w:val="18"/>
        </w:rPr>
        <w:t xml:space="preserve">. </w:t>
      </w:r>
      <w:r w:rsidR="001E3953">
        <w:rPr>
          <w:rFonts w:ascii="Times New Roman" w:hAnsi="Times New Roman"/>
          <w:sz w:val="18"/>
          <w:szCs w:val="18"/>
        </w:rPr>
        <w:t xml:space="preserve"> </w:t>
      </w:r>
      <w:r w:rsidRPr="00D770A7">
        <w:rPr>
          <w:rFonts w:ascii="Times New Roman" w:hAnsi="Times New Roman"/>
          <w:sz w:val="18"/>
          <w:szCs w:val="18"/>
        </w:rPr>
        <w:t xml:space="preserve">The cellist, in contrast, </w:t>
      </w:r>
      <w:r w:rsidR="00987A83">
        <w:rPr>
          <w:rFonts w:ascii="Times New Roman" w:hAnsi="Times New Roman"/>
          <w:sz w:val="18"/>
          <w:szCs w:val="18"/>
        </w:rPr>
        <w:lastRenderedPageBreak/>
        <w:t>learned</w:t>
      </w:r>
      <w:r w:rsidRPr="00D770A7">
        <w:rPr>
          <w:rFonts w:ascii="Times New Roman" w:hAnsi="Times New Roman"/>
          <w:sz w:val="18"/>
          <w:szCs w:val="18"/>
        </w:rPr>
        <w:t xml:space="preserve"> the </w:t>
      </w:r>
      <w:r w:rsidRPr="00D770A7">
        <w:rPr>
          <w:rFonts w:ascii="Times New Roman" w:hAnsi="Times New Roman"/>
          <w:i/>
          <w:iCs/>
          <w:sz w:val="18"/>
          <w:szCs w:val="18"/>
        </w:rPr>
        <w:t xml:space="preserve">Prelude </w:t>
      </w:r>
      <w:r w:rsidRPr="00D770A7">
        <w:rPr>
          <w:rFonts w:ascii="Times New Roman" w:hAnsi="Times New Roman"/>
          <w:sz w:val="18"/>
          <w:szCs w:val="18"/>
        </w:rPr>
        <w:t xml:space="preserve">simply in order to add an important work to her repertoire. The pianist felt that her performance met her highest standard, whereas the cellist felt that her work on the </w:t>
      </w:r>
      <w:r w:rsidRPr="00D770A7">
        <w:rPr>
          <w:rFonts w:ascii="Times New Roman" w:hAnsi="Times New Roman"/>
          <w:i/>
          <w:iCs/>
          <w:sz w:val="18"/>
          <w:szCs w:val="18"/>
        </w:rPr>
        <w:t xml:space="preserve">Prelude </w:t>
      </w:r>
      <w:r w:rsidRPr="00D770A7">
        <w:rPr>
          <w:rFonts w:ascii="Times New Roman" w:hAnsi="Times New Roman"/>
          <w:sz w:val="18"/>
          <w:szCs w:val="18"/>
        </w:rPr>
        <w:t>would not be complete until she had all six movements of 6</w:t>
      </w:r>
      <w:r w:rsidRPr="00D770A7">
        <w:rPr>
          <w:rFonts w:ascii="Times New Roman" w:hAnsi="Times New Roman"/>
          <w:sz w:val="18"/>
          <w:szCs w:val="18"/>
          <w:vertAlign w:val="superscript"/>
        </w:rPr>
        <w:t>th</w:t>
      </w:r>
      <w:r w:rsidRPr="00D770A7">
        <w:rPr>
          <w:rFonts w:ascii="Times New Roman" w:hAnsi="Times New Roman"/>
          <w:sz w:val="18"/>
          <w:szCs w:val="18"/>
        </w:rPr>
        <w:t xml:space="preserve"> suite ready for performance, something she did not intend to do during the time of the study. </w:t>
      </w:r>
    </w:p>
    <w:p w:rsidR="00D770A7" w:rsidRDefault="00D770A7" w:rsidP="00D770A7">
      <w:pPr>
        <w:spacing w:before="140" w:line="219" w:lineRule="exact"/>
        <w:jc w:val="both"/>
        <w:rPr>
          <w:rFonts w:ascii="Times New Roman" w:hAnsi="Times New Roman"/>
          <w:sz w:val="18"/>
          <w:szCs w:val="18"/>
        </w:rPr>
      </w:pPr>
      <w:r w:rsidRPr="00D770A7">
        <w:rPr>
          <w:rFonts w:ascii="Times New Roman" w:hAnsi="Times New Roman"/>
          <w:sz w:val="18"/>
          <w:szCs w:val="18"/>
        </w:rPr>
        <w:t xml:space="preserve">The difference in goals was reflected in the musicians’ </w:t>
      </w:r>
      <w:r w:rsidR="009B3B01">
        <w:rPr>
          <w:rFonts w:ascii="Times New Roman" w:hAnsi="Times New Roman"/>
          <w:sz w:val="18"/>
          <w:szCs w:val="18"/>
        </w:rPr>
        <w:t xml:space="preserve">practice </w:t>
      </w:r>
      <w:r w:rsidRPr="00D770A7">
        <w:rPr>
          <w:rFonts w:ascii="Times New Roman" w:hAnsi="Times New Roman"/>
          <w:sz w:val="18"/>
          <w:szCs w:val="18"/>
        </w:rPr>
        <w:t xml:space="preserve">strategies. </w:t>
      </w:r>
      <w:r w:rsidR="001E3953">
        <w:rPr>
          <w:rFonts w:ascii="Times New Roman" w:hAnsi="Times New Roman"/>
          <w:sz w:val="18"/>
          <w:szCs w:val="18"/>
        </w:rPr>
        <w:t xml:space="preserve"> </w:t>
      </w:r>
      <w:r w:rsidRPr="00D770A7">
        <w:rPr>
          <w:rFonts w:ascii="Times New Roman" w:hAnsi="Times New Roman"/>
          <w:sz w:val="18"/>
          <w:szCs w:val="18"/>
        </w:rPr>
        <w:t xml:space="preserve">The pianist began by mastering the technical challenges of the piece whereas the cellist gave priority to developing </w:t>
      </w:r>
      <w:r w:rsidR="000E03F1">
        <w:rPr>
          <w:rFonts w:ascii="Times New Roman" w:hAnsi="Times New Roman"/>
          <w:sz w:val="18"/>
          <w:szCs w:val="18"/>
        </w:rPr>
        <w:t>a satisfactory</w:t>
      </w:r>
      <w:r w:rsidR="000E03F1" w:rsidRPr="00D770A7">
        <w:rPr>
          <w:rFonts w:ascii="Times New Roman" w:hAnsi="Times New Roman"/>
          <w:sz w:val="18"/>
          <w:szCs w:val="18"/>
        </w:rPr>
        <w:t xml:space="preserve"> </w:t>
      </w:r>
      <w:r w:rsidRPr="00D770A7">
        <w:rPr>
          <w:rFonts w:ascii="Times New Roman" w:hAnsi="Times New Roman"/>
          <w:sz w:val="18"/>
          <w:szCs w:val="18"/>
        </w:rPr>
        <w:t>interpretation in time for the first public performance, delay</w:t>
      </w:r>
      <w:r w:rsidR="000E03F1">
        <w:rPr>
          <w:rFonts w:ascii="Times New Roman" w:hAnsi="Times New Roman"/>
          <w:sz w:val="18"/>
          <w:szCs w:val="18"/>
        </w:rPr>
        <w:t>ing</w:t>
      </w:r>
      <w:r w:rsidRPr="00D770A7">
        <w:rPr>
          <w:rFonts w:ascii="Times New Roman" w:hAnsi="Times New Roman"/>
          <w:sz w:val="18"/>
          <w:szCs w:val="18"/>
        </w:rPr>
        <w:t xml:space="preserve"> work on technical difficulties until late in the learning process (Chaffin et al., 2009). If this </w:t>
      </w:r>
      <w:r w:rsidR="00457300">
        <w:rPr>
          <w:rFonts w:ascii="Times New Roman" w:hAnsi="Times New Roman"/>
          <w:sz w:val="18"/>
          <w:szCs w:val="18"/>
        </w:rPr>
        <w:t>account</w:t>
      </w:r>
      <w:r w:rsidR="00457300" w:rsidRPr="00D770A7" w:rsidDel="00457300">
        <w:rPr>
          <w:rFonts w:ascii="Times New Roman" w:hAnsi="Times New Roman"/>
          <w:sz w:val="18"/>
          <w:szCs w:val="18"/>
        </w:rPr>
        <w:t xml:space="preserve"> </w:t>
      </w:r>
      <w:r w:rsidRPr="00D770A7">
        <w:rPr>
          <w:rFonts w:ascii="Times New Roman" w:hAnsi="Times New Roman"/>
          <w:sz w:val="18"/>
          <w:szCs w:val="18"/>
        </w:rPr>
        <w:t xml:space="preserve">is correct, then </w:t>
      </w:r>
      <w:r w:rsidR="006E3519">
        <w:rPr>
          <w:rFonts w:ascii="Times New Roman" w:hAnsi="Times New Roman"/>
          <w:sz w:val="18"/>
          <w:szCs w:val="18"/>
        </w:rPr>
        <w:t xml:space="preserve">it suggests that </w:t>
      </w:r>
      <w:r w:rsidRPr="00D770A7">
        <w:rPr>
          <w:rFonts w:ascii="Times New Roman" w:hAnsi="Times New Roman"/>
          <w:sz w:val="18"/>
          <w:szCs w:val="18"/>
        </w:rPr>
        <w:t xml:space="preserve">the proportion of different types of PC </w:t>
      </w:r>
      <w:r w:rsidR="006E3519">
        <w:rPr>
          <w:rFonts w:ascii="Times New Roman" w:hAnsi="Times New Roman"/>
          <w:sz w:val="18"/>
          <w:szCs w:val="18"/>
        </w:rPr>
        <w:t>is</w:t>
      </w:r>
      <w:r w:rsidRPr="00D770A7">
        <w:rPr>
          <w:rFonts w:ascii="Times New Roman" w:hAnsi="Times New Roman"/>
          <w:sz w:val="18"/>
          <w:szCs w:val="18"/>
        </w:rPr>
        <w:t xml:space="preserve"> a sensitive indicator of </w:t>
      </w:r>
      <w:r w:rsidR="009B3B01">
        <w:rPr>
          <w:rFonts w:ascii="Times New Roman" w:hAnsi="Times New Roman"/>
          <w:sz w:val="18"/>
          <w:szCs w:val="18"/>
        </w:rPr>
        <w:t>musicians</w:t>
      </w:r>
      <w:r w:rsidR="006E3519">
        <w:rPr>
          <w:rFonts w:ascii="Times New Roman" w:hAnsi="Times New Roman"/>
          <w:sz w:val="18"/>
          <w:szCs w:val="18"/>
        </w:rPr>
        <w:t>’</w:t>
      </w:r>
      <w:r w:rsidR="00A83E67">
        <w:rPr>
          <w:rFonts w:ascii="Times New Roman" w:hAnsi="Times New Roman"/>
          <w:sz w:val="18"/>
          <w:szCs w:val="18"/>
        </w:rPr>
        <w:t xml:space="preserve"> practice strategies</w:t>
      </w:r>
      <w:r w:rsidRPr="00D770A7">
        <w:rPr>
          <w:rFonts w:ascii="Times New Roman" w:hAnsi="Times New Roman"/>
          <w:sz w:val="18"/>
          <w:szCs w:val="18"/>
        </w:rPr>
        <w:t>.</w:t>
      </w:r>
    </w:p>
    <w:p w:rsidR="008F254A" w:rsidRPr="008F254A" w:rsidRDefault="008F254A" w:rsidP="008F254A">
      <w:pPr>
        <w:pStyle w:val="ICOMCSHead1"/>
        <w:tabs>
          <w:tab w:val="clear" w:pos="634"/>
          <w:tab w:val="num" w:pos="454"/>
          <w:tab w:val="num" w:pos="1305"/>
        </w:tabs>
        <w:ind w:left="461" w:hanging="461"/>
        <w:rPr>
          <w:rFonts w:cs="Times New Roman"/>
        </w:rPr>
      </w:pPr>
      <w:r w:rsidRPr="008F254A">
        <w:rPr>
          <w:rFonts w:cs="Times New Roman"/>
        </w:rPr>
        <w:t>COMPARING pcs for the presto ACROSS MUSICIANS</w:t>
      </w:r>
    </w:p>
    <w:p w:rsidR="008F254A" w:rsidRPr="008F254A" w:rsidRDefault="00AE6113" w:rsidP="008F254A">
      <w:pPr>
        <w:spacing w:before="140" w:after="0" w:line="219" w:lineRule="exact"/>
        <w:jc w:val="both"/>
        <w:rPr>
          <w:rFonts w:ascii="Times New Roman" w:hAnsi="Times New Roman" w:cs="Times New Roman"/>
          <w:sz w:val="18"/>
          <w:szCs w:val="20"/>
        </w:rPr>
      </w:pPr>
      <w:r>
        <w:rPr>
          <w:rFonts w:ascii="Times New Roman" w:hAnsi="Times New Roman" w:cs="Times New Roman"/>
          <w:noProof/>
          <w:sz w:val="18"/>
          <w:szCs w:val="20"/>
        </w:rPr>
        <w:drawing>
          <wp:anchor distT="0" distB="0" distL="114300" distR="114300" simplePos="0" relativeHeight="251678720" behindDoc="0" locked="0" layoutInCell="1" allowOverlap="1">
            <wp:simplePos x="0" y="0"/>
            <wp:positionH relativeFrom="leftMargin">
              <wp:posOffset>974725</wp:posOffset>
            </wp:positionH>
            <wp:positionV relativeFrom="topMargin">
              <wp:posOffset>4553585</wp:posOffset>
            </wp:positionV>
            <wp:extent cx="2652395" cy="1697990"/>
            <wp:effectExtent l="1905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652395" cy="1697990"/>
                    </a:xfrm>
                    <a:prstGeom prst="rect">
                      <a:avLst/>
                    </a:prstGeom>
                    <a:noFill/>
                  </pic:spPr>
                </pic:pic>
              </a:graphicData>
            </a:graphic>
          </wp:anchor>
        </w:drawing>
      </w:r>
      <w:r w:rsidR="008F254A" w:rsidRPr="008F254A">
        <w:rPr>
          <w:rFonts w:ascii="Times New Roman" w:hAnsi="Times New Roman" w:cs="Times New Roman"/>
          <w:sz w:val="18"/>
          <w:szCs w:val="20"/>
        </w:rPr>
        <w:t xml:space="preserve">Do different musicians use PCs in the same places when playing the same piece? </w:t>
      </w:r>
      <w:r w:rsidR="001E3953">
        <w:rPr>
          <w:rFonts w:ascii="Times New Roman" w:hAnsi="Times New Roman" w:cs="Times New Roman"/>
          <w:sz w:val="18"/>
          <w:szCs w:val="20"/>
        </w:rPr>
        <w:t xml:space="preserve"> </w:t>
      </w:r>
      <w:r w:rsidR="008F254A" w:rsidRPr="008F254A">
        <w:rPr>
          <w:rFonts w:ascii="Times New Roman" w:hAnsi="Times New Roman" w:cs="Times New Roman"/>
          <w:sz w:val="18"/>
          <w:szCs w:val="20"/>
        </w:rPr>
        <w:t xml:space="preserve">The fact that our sample included three pianists who all reported PCs for the </w:t>
      </w:r>
      <w:r w:rsidR="008F254A" w:rsidRPr="008F254A">
        <w:rPr>
          <w:rFonts w:ascii="Times New Roman" w:hAnsi="Times New Roman" w:cs="Times New Roman"/>
          <w:i/>
          <w:sz w:val="18"/>
          <w:szCs w:val="20"/>
        </w:rPr>
        <w:t xml:space="preserve">Presto </w:t>
      </w:r>
      <w:r w:rsidR="008F254A" w:rsidRPr="008F254A">
        <w:rPr>
          <w:rFonts w:ascii="Times New Roman" w:hAnsi="Times New Roman" w:cs="Times New Roman"/>
          <w:sz w:val="18"/>
          <w:szCs w:val="20"/>
        </w:rPr>
        <w:t xml:space="preserve">provided an opportunity to </w:t>
      </w:r>
      <w:r w:rsidR="00DB0668">
        <w:rPr>
          <w:rFonts w:ascii="Times New Roman" w:hAnsi="Times New Roman" w:cs="Times New Roman"/>
          <w:sz w:val="18"/>
          <w:szCs w:val="20"/>
        </w:rPr>
        <w:t>ad</w:t>
      </w:r>
      <w:r w:rsidR="001662FA">
        <w:rPr>
          <w:rFonts w:ascii="Times New Roman" w:hAnsi="Times New Roman" w:cs="Times New Roman"/>
          <w:sz w:val="18"/>
          <w:szCs w:val="20"/>
        </w:rPr>
        <w:t>d</w:t>
      </w:r>
      <w:r w:rsidR="00DB0668">
        <w:rPr>
          <w:rFonts w:ascii="Times New Roman" w:hAnsi="Times New Roman" w:cs="Times New Roman"/>
          <w:sz w:val="18"/>
          <w:szCs w:val="20"/>
        </w:rPr>
        <w:t>ress</w:t>
      </w:r>
      <w:r w:rsidR="00DB0668" w:rsidRPr="008F254A">
        <w:rPr>
          <w:rFonts w:ascii="Times New Roman" w:hAnsi="Times New Roman" w:cs="Times New Roman"/>
          <w:sz w:val="18"/>
          <w:szCs w:val="20"/>
        </w:rPr>
        <w:t xml:space="preserve"> </w:t>
      </w:r>
      <w:r w:rsidR="008F254A" w:rsidRPr="008F254A">
        <w:rPr>
          <w:rFonts w:ascii="Times New Roman" w:hAnsi="Times New Roman" w:cs="Times New Roman"/>
          <w:sz w:val="18"/>
          <w:szCs w:val="20"/>
        </w:rPr>
        <w:t>this question. We examined the extent to which the two students each agreed with the professional pianist, Imreh</w:t>
      </w:r>
      <w:r w:rsidR="001662FA">
        <w:rPr>
          <w:rFonts w:ascii="Times New Roman" w:hAnsi="Times New Roman" w:cs="Times New Roman"/>
          <w:sz w:val="18"/>
          <w:szCs w:val="20"/>
        </w:rPr>
        <w:t>, on the location of bars containing each type of PC</w:t>
      </w:r>
      <w:r w:rsidR="008F254A" w:rsidRPr="008F254A">
        <w:rPr>
          <w:rFonts w:ascii="Times New Roman" w:hAnsi="Times New Roman" w:cs="Times New Roman"/>
          <w:sz w:val="18"/>
          <w:szCs w:val="20"/>
        </w:rPr>
        <w:t xml:space="preserve">. </w:t>
      </w:r>
      <w:r w:rsidR="00FD65F8">
        <w:rPr>
          <w:rFonts w:ascii="Times New Roman" w:hAnsi="Times New Roman" w:cs="Times New Roman"/>
          <w:sz w:val="18"/>
          <w:szCs w:val="20"/>
        </w:rPr>
        <w:t xml:space="preserve">Agreement was calculated </w:t>
      </w:r>
      <w:r w:rsidR="001629FF">
        <w:rPr>
          <w:rFonts w:ascii="Times New Roman" w:hAnsi="Times New Roman" w:cs="Times New Roman"/>
          <w:sz w:val="18"/>
          <w:szCs w:val="20"/>
        </w:rPr>
        <w:t xml:space="preserve">using </w:t>
      </w:r>
      <w:r w:rsidR="00FD65F8">
        <w:rPr>
          <w:rFonts w:ascii="Times New Roman" w:hAnsi="Times New Roman" w:cs="Times New Roman"/>
          <w:sz w:val="18"/>
          <w:szCs w:val="20"/>
        </w:rPr>
        <w:t>Cohen’s Kappa</w:t>
      </w:r>
      <w:r w:rsidR="001629FF">
        <w:rPr>
          <w:rFonts w:ascii="Times New Roman" w:hAnsi="Times New Roman" w:cs="Times New Roman"/>
          <w:sz w:val="18"/>
          <w:szCs w:val="20"/>
        </w:rPr>
        <w:t>, which</w:t>
      </w:r>
      <w:r w:rsidR="00EE6EEE">
        <w:rPr>
          <w:rFonts w:ascii="Times New Roman" w:hAnsi="Times New Roman" w:cs="Times New Roman"/>
          <w:sz w:val="18"/>
          <w:szCs w:val="20"/>
        </w:rPr>
        <w:t xml:space="preserve"> </w:t>
      </w:r>
      <w:r w:rsidR="003561B1">
        <w:rPr>
          <w:rFonts w:ascii="Times New Roman" w:hAnsi="Times New Roman" w:cs="Times New Roman"/>
          <w:sz w:val="18"/>
          <w:szCs w:val="20"/>
        </w:rPr>
        <w:t>takes into account the probability of agreement due to chance</w:t>
      </w:r>
      <w:r w:rsidR="009E6D49">
        <w:rPr>
          <w:rFonts w:ascii="Times New Roman" w:hAnsi="Times New Roman" w:cs="Times New Roman"/>
          <w:sz w:val="18"/>
          <w:szCs w:val="20"/>
        </w:rPr>
        <w:t xml:space="preserve"> overlap</w:t>
      </w:r>
      <w:r w:rsidR="003561B1">
        <w:rPr>
          <w:rFonts w:ascii="Times New Roman" w:hAnsi="Times New Roman" w:cs="Times New Roman"/>
          <w:sz w:val="18"/>
          <w:szCs w:val="20"/>
        </w:rPr>
        <w:t xml:space="preserve"> (Cohen, 1960).</w:t>
      </w:r>
      <w:r w:rsidR="000B0922">
        <w:rPr>
          <w:rFonts w:ascii="Times New Roman" w:hAnsi="Times New Roman" w:cs="Times New Roman"/>
          <w:sz w:val="18"/>
          <w:szCs w:val="20"/>
        </w:rPr>
        <w:t xml:space="preserve">  </w:t>
      </w:r>
      <w:r w:rsidR="005D4319">
        <w:rPr>
          <w:rFonts w:ascii="Times New Roman" w:hAnsi="Times New Roman" w:cs="Times New Roman"/>
          <w:sz w:val="18"/>
          <w:szCs w:val="20"/>
        </w:rPr>
        <w:t>K</w:t>
      </w:r>
      <w:r w:rsidR="000B0922">
        <w:rPr>
          <w:rFonts w:ascii="Times New Roman" w:hAnsi="Times New Roman" w:cs="Times New Roman"/>
          <w:sz w:val="18"/>
          <w:szCs w:val="20"/>
        </w:rPr>
        <w:t>appa value</w:t>
      </w:r>
      <w:r w:rsidR="005D4319">
        <w:rPr>
          <w:rFonts w:ascii="Times New Roman" w:hAnsi="Times New Roman" w:cs="Times New Roman"/>
          <w:sz w:val="18"/>
          <w:szCs w:val="20"/>
        </w:rPr>
        <w:t>s</w:t>
      </w:r>
      <w:r w:rsidR="000B0922">
        <w:rPr>
          <w:rFonts w:ascii="Times New Roman" w:hAnsi="Times New Roman" w:cs="Times New Roman"/>
          <w:sz w:val="18"/>
          <w:szCs w:val="20"/>
        </w:rPr>
        <w:t xml:space="preserve"> larger th</w:t>
      </w:r>
      <w:r w:rsidR="00A83E67">
        <w:rPr>
          <w:rFonts w:ascii="Times New Roman" w:hAnsi="Times New Roman" w:cs="Times New Roman"/>
          <w:sz w:val="18"/>
          <w:szCs w:val="20"/>
        </w:rPr>
        <w:t>a</w:t>
      </w:r>
      <w:r w:rsidR="001E3953">
        <w:rPr>
          <w:rFonts w:ascii="Times New Roman" w:hAnsi="Times New Roman" w:cs="Times New Roman"/>
          <w:sz w:val="18"/>
          <w:szCs w:val="20"/>
        </w:rPr>
        <w:t xml:space="preserve">n zero </w:t>
      </w:r>
      <w:r w:rsidR="005D4319">
        <w:rPr>
          <w:rFonts w:ascii="Times New Roman" w:hAnsi="Times New Roman" w:cs="Times New Roman"/>
          <w:sz w:val="18"/>
          <w:szCs w:val="20"/>
        </w:rPr>
        <w:t>indicate</w:t>
      </w:r>
      <w:r w:rsidR="000B0922">
        <w:rPr>
          <w:rFonts w:ascii="Times New Roman" w:hAnsi="Times New Roman" w:cs="Times New Roman"/>
          <w:sz w:val="18"/>
          <w:szCs w:val="20"/>
        </w:rPr>
        <w:t xml:space="preserve"> above chan</w:t>
      </w:r>
      <w:r w:rsidR="00A83E67">
        <w:rPr>
          <w:rFonts w:ascii="Times New Roman" w:hAnsi="Times New Roman" w:cs="Times New Roman"/>
          <w:sz w:val="18"/>
          <w:szCs w:val="20"/>
        </w:rPr>
        <w:t>c</w:t>
      </w:r>
      <w:r w:rsidR="000B0922">
        <w:rPr>
          <w:rFonts w:ascii="Times New Roman" w:hAnsi="Times New Roman" w:cs="Times New Roman"/>
          <w:sz w:val="18"/>
          <w:szCs w:val="20"/>
        </w:rPr>
        <w:t xml:space="preserve">e agreement levels.  </w:t>
      </w:r>
      <w:r w:rsidR="003561B1">
        <w:rPr>
          <w:rFonts w:ascii="Times New Roman" w:hAnsi="Times New Roman" w:cs="Times New Roman"/>
          <w:sz w:val="18"/>
          <w:szCs w:val="20"/>
        </w:rPr>
        <w:t xml:space="preserve"> </w:t>
      </w:r>
    </w:p>
    <w:p w:rsidR="000B0922" w:rsidRDefault="00B82B2A" w:rsidP="008F254A">
      <w:pPr>
        <w:spacing w:before="140" w:after="0" w:line="219" w:lineRule="exact"/>
        <w:jc w:val="both"/>
        <w:rPr>
          <w:rFonts w:ascii="Times New Roman" w:hAnsi="Times New Roman" w:cs="Times New Roman"/>
          <w:sz w:val="18"/>
          <w:szCs w:val="20"/>
        </w:rPr>
      </w:pPr>
      <w:r>
        <w:rPr>
          <w:rFonts w:ascii="Times New Roman" w:hAnsi="Times New Roman" w:cs="Times New Roman"/>
          <w:sz w:val="18"/>
          <w:szCs w:val="20"/>
        </w:rPr>
        <w:t>Figure 3</w:t>
      </w:r>
      <w:r w:rsidR="008F254A" w:rsidRPr="008F254A">
        <w:rPr>
          <w:rFonts w:ascii="Times New Roman" w:hAnsi="Times New Roman" w:cs="Times New Roman"/>
          <w:sz w:val="18"/>
          <w:szCs w:val="20"/>
        </w:rPr>
        <w:t xml:space="preserve"> shows </w:t>
      </w:r>
      <w:r w:rsidR="009E6D49">
        <w:rPr>
          <w:rFonts w:ascii="Times New Roman" w:hAnsi="Times New Roman" w:cs="Times New Roman"/>
          <w:sz w:val="18"/>
          <w:szCs w:val="20"/>
        </w:rPr>
        <w:t xml:space="preserve">the </w:t>
      </w:r>
      <w:r w:rsidR="008F254A" w:rsidRPr="008F254A">
        <w:rPr>
          <w:rFonts w:ascii="Times New Roman" w:hAnsi="Times New Roman" w:cs="Times New Roman"/>
          <w:sz w:val="18"/>
          <w:szCs w:val="20"/>
        </w:rPr>
        <w:t xml:space="preserve">agreement </w:t>
      </w:r>
      <w:r w:rsidR="00CA1E4E">
        <w:rPr>
          <w:rFonts w:ascii="Times New Roman" w:hAnsi="Times New Roman" w:cs="Times New Roman"/>
          <w:sz w:val="18"/>
          <w:szCs w:val="20"/>
        </w:rPr>
        <w:t xml:space="preserve">of </w:t>
      </w:r>
      <w:r w:rsidR="008F254A" w:rsidRPr="008F254A">
        <w:rPr>
          <w:rFonts w:ascii="Times New Roman" w:hAnsi="Times New Roman" w:cs="Times New Roman"/>
          <w:sz w:val="18"/>
          <w:szCs w:val="20"/>
        </w:rPr>
        <w:t xml:space="preserve">each of the student musicians </w:t>
      </w:r>
      <w:r w:rsidR="00CA1E4E">
        <w:rPr>
          <w:rFonts w:ascii="Times New Roman" w:hAnsi="Times New Roman" w:cs="Times New Roman"/>
          <w:sz w:val="18"/>
          <w:szCs w:val="20"/>
        </w:rPr>
        <w:t>with</w:t>
      </w:r>
      <w:r w:rsidR="00CA1E4E" w:rsidRPr="008F254A">
        <w:rPr>
          <w:rFonts w:ascii="Times New Roman" w:hAnsi="Times New Roman" w:cs="Times New Roman"/>
          <w:sz w:val="18"/>
          <w:szCs w:val="20"/>
        </w:rPr>
        <w:t xml:space="preserve"> </w:t>
      </w:r>
      <w:r w:rsidR="008F254A" w:rsidRPr="008F254A">
        <w:rPr>
          <w:rFonts w:ascii="Times New Roman" w:hAnsi="Times New Roman" w:cs="Times New Roman"/>
          <w:sz w:val="18"/>
          <w:szCs w:val="20"/>
        </w:rPr>
        <w:t>the professional pianist, Imreh.  The greatest agreement between the students and the professional was for musical structure.</w:t>
      </w:r>
      <w:r w:rsidR="009E6D49">
        <w:rPr>
          <w:rFonts w:ascii="Times New Roman" w:hAnsi="Times New Roman" w:cs="Times New Roman"/>
          <w:sz w:val="18"/>
          <w:szCs w:val="20"/>
        </w:rPr>
        <w:t xml:space="preserve">  The MA and </w:t>
      </w:r>
      <w:r w:rsidR="001E3953">
        <w:rPr>
          <w:rFonts w:ascii="Times New Roman" w:hAnsi="Times New Roman" w:cs="Times New Roman"/>
          <w:sz w:val="18"/>
          <w:szCs w:val="20"/>
        </w:rPr>
        <w:t>BA students</w:t>
      </w:r>
      <w:r w:rsidR="009E6D49">
        <w:rPr>
          <w:rFonts w:ascii="Times New Roman" w:hAnsi="Times New Roman" w:cs="Times New Roman"/>
          <w:sz w:val="18"/>
          <w:szCs w:val="20"/>
        </w:rPr>
        <w:t xml:space="preserve"> had 88% and 83%</w:t>
      </w:r>
      <w:r w:rsidR="000B0922">
        <w:rPr>
          <w:rFonts w:ascii="Times New Roman" w:hAnsi="Times New Roman" w:cs="Times New Roman"/>
          <w:sz w:val="18"/>
          <w:szCs w:val="20"/>
        </w:rPr>
        <w:t xml:space="preserve"> </w:t>
      </w:r>
      <w:r w:rsidR="009E6D49">
        <w:rPr>
          <w:rFonts w:ascii="Times New Roman" w:hAnsi="Times New Roman" w:cs="Times New Roman"/>
          <w:sz w:val="18"/>
          <w:szCs w:val="20"/>
        </w:rPr>
        <w:t>of their structural locations overlapping with Imreh’s</w:t>
      </w:r>
      <w:r w:rsidR="000B0922">
        <w:rPr>
          <w:rFonts w:ascii="Times New Roman" w:hAnsi="Times New Roman" w:cs="Times New Roman"/>
          <w:sz w:val="18"/>
          <w:szCs w:val="20"/>
        </w:rPr>
        <w:t>,</w:t>
      </w:r>
      <w:r w:rsidR="000B0922" w:rsidRPr="000B0922">
        <w:rPr>
          <w:rFonts w:ascii="Times New Roman" w:hAnsi="Times New Roman" w:cs="Times New Roman"/>
          <w:sz w:val="18"/>
          <w:szCs w:val="20"/>
        </w:rPr>
        <w:t xml:space="preserve"> </w:t>
      </w:r>
      <w:r w:rsidR="000B0922">
        <w:rPr>
          <w:rFonts w:ascii="Times New Roman" w:hAnsi="Times New Roman" w:cs="Times New Roman"/>
          <w:sz w:val="18"/>
          <w:szCs w:val="20"/>
        </w:rPr>
        <w:t>respectively</w:t>
      </w:r>
      <w:r w:rsidR="009E6D49">
        <w:rPr>
          <w:rFonts w:ascii="Times New Roman" w:hAnsi="Times New Roman" w:cs="Times New Roman"/>
          <w:sz w:val="18"/>
          <w:szCs w:val="20"/>
        </w:rPr>
        <w:t xml:space="preserve">.  </w:t>
      </w:r>
    </w:p>
    <w:p w:rsidR="00AE6113" w:rsidRPr="008F254A" w:rsidRDefault="00AE6113" w:rsidP="00AE6113">
      <w:pPr>
        <w:spacing w:before="140" w:after="0" w:line="219" w:lineRule="exact"/>
        <w:jc w:val="both"/>
        <w:rPr>
          <w:rFonts w:ascii="Times New Roman" w:hAnsi="Times New Roman" w:cs="Times New Roman"/>
          <w:sz w:val="18"/>
          <w:szCs w:val="20"/>
        </w:rPr>
      </w:pPr>
      <w:r w:rsidRPr="008F254A">
        <w:rPr>
          <w:rFonts w:ascii="Times New Roman" w:eastAsia="Times New Roman" w:hAnsi="Times New Roman" w:cs="Times New Roman"/>
          <w:b/>
          <w:sz w:val="18"/>
          <w:szCs w:val="20"/>
          <w:lang w:eastAsia="en-GB"/>
        </w:rPr>
        <w:t>Figure 3</w:t>
      </w:r>
      <w:r>
        <w:rPr>
          <w:rFonts w:ascii="Times New Roman" w:eastAsia="Times New Roman" w:hAnsi="Times New Roman" w:cs="Times New Roman"/>
          <w:b/>
          <w:sz w:val="18"/>
          <w:szCs w:val="20"/>
          <w:lang w:eastAsia="en-GB"/>
        </w:rPr>
        <w:t xml:space="preserve">: </w:t>
      </w:r>
      <w:r>
        <w:rPr>
          <w:rFonts w:ascii="Times New Roman" w:hAnsi="Times New Roman" w:cs="Times New Roman"/>
          <w:sz w:val="18"/>
          <w:szCs w:val="20"/>
        </w:rPr>
        <w:t>A</w:t>
      </w:r>
      <w:r w:rsidRPr="008F254A">
        <w:rPr>
          <w:rFonts w:ascii="Times New Roman" w:hAnsi="Times New Roman" w:cs="Times New Roman"/>
          <w:sz w:val="18"/>
          <w:szCs w:val="20"/>
        </w:rPr>
        <w:t>mount of agreement each student had with the professional musician</w:t>
      </w:r>
      <w:r>
        <w:rPr>
          <w:rFonts w:ascii="Times New Roman" w:hAnsi="Times New Roman" w:cs="Times New Roman"/>
          <w:sz w:val="18"/>
          <w:szCs w:val="20"/>
        </w:rPr>
        <w:t>.</w:t>
      </w:r>
    </w:p>
    <w:p w:rsidR="00A83E67" w:rsidRDefault="003E39EF" w:rsidP="00BB4F33">
      <w:pPr>
        <w:spacing w:before="140" w:after="0" w:line="219" w:lineRule="exact"/>
        <w:jc w:val="both"/>
        <w:rPr>
          <w:rFonts w:ascii="Times New Roman" w:hAnsi="Times New Roman" w:cs="Times New Roman"/>
          <w:sz w:val="18"/>
          <w:szCs w:val="20"/>
        </w:rPr>
      </w:pPr>
      <w:r>
        <w:rPr>
          <w:rFonts w:ascii="Times New Roman" w:hAnsi="Times New Roman" w:cs="Times New Roman"/>
          <w:sz w:val="18"/>
          <w:szCs w:val="20"/>
        </w:rPr>
        <w:t>The n</w:t>
      </w:r>
      <w:r w:rsidR="000B0922">
        <w:rPr>
          <w:rFonts w:ascii="Times New Roman" w:hAnsi="Times New Roman" w:cs="Times New Roman"/>
          <w:sz w:val="18"/>
          <w:szCs w:val="20"/>
        </w:rPr>
        <w:t>ext highest agreement was for e</w:t>
      </w:r>
      <w:r w:rsidR="008F254A" w:rsidRPr="008F254A">
        <w:rPr>
          <w:rFonts w:ascii="Times New Roman" w:hAnsi="Times New Roman" w:cs="Times New Roman"/>
          <w:sz w:val="18"/>
          <w:szCs w:val="20"/>
        </w:rPr>
        <w:t xml:space="preserve">xpressive PCs. </w:t>
      </w:r>
      <w:r w:rsidR="000E03F1">
        <w:rPr>
          <w:rFonts w:ascii="Times New Roman" w:hAnsi="Times New Roman" w:cs="Times New Roman"/>
          <w:sz w:val="18"/>
          <w:szCs w:val="20"/>
        </w:rPr>
        <w:t>T</w:t>
      </w:r>
      <w:r w:rsidR="008F254A" w:rsidRPr="008F254A">
        <w:rPr>
          <w:rFonts w:ascii="Times New Roman" w:hAnsi="Times New Roman" w:cs="Times New Roman"/>
          <w:sz w:val="18"/>
          <w:szCs w:val="20"/>
        </w:rPr>
        <w:t xml:space="preserve">he MA student </w:t>
      </w:r>
      <w:r w:rsidR="005245D2">
        <w:rPr>
          <w:rFonts w:ascii="Times New Roman" w:hAnsi="Times New Roman" w:cs="Times New Roman"/>
          <w:sz w:val="18"/>
          <w:szCs w:val="20"/>
        </w:rPr>
        <w:t xml:space="preserve">agreed with Imreh on </w:t>
      </w:r>
      <w:r w:rsidR="000B0922">
        <w:rPr>
          <w:rFonts w:ascii="Times New Roman" w:hAnsi="Times New Roman" w:cs="Times New Roman"/>
          <w:sz w:val="18"/>
          <w:szCs w:val="20"/>
        </w:rPr>
        <w:t>100% of his e</w:t>
      </w:r>
      <w:r w:rsidR="008F254A" w:rsidRPr="008F254A">
        <w:rPr>
          <w:rFonts w:ascii="Times New Roman" w:hAnsi="Times New Roman" w:cs="Times New Roman"/>
          <w:sz w:val="18"/>
          <w:szCs w:val="20"/>
        </w:rPr>
        <w:t>xpressive PCs</w:t>
      </w:r>
      <w:r w:rsidR="00A83E67">
        <w:rPr>
          <w:rFonts w:ascii="Times New Roman" w:hAnsi="Times New Roman" w:cs="Times New Roman"/>
          <w:sz w:val="18"/>
          <w:szCs w:val="20"/>
        </w:rPr>
        <w:t>. T</w:t>
      </w:r>
      <w:r w:rsidR="008F254A" w:rsidRPr="008F254A">
        <w:rPr>
          <w:rFonts w:ascii="Times New Roman" w:hAnsi="Times New Roman" w:cs="Times New Roman"/>
          <w:sz w:val="18"/>
          <w:szCs w:val="20"/>
        </w:rPr>
        <w:t xml:space="preserve">he BA student </w:t>
      </w:r>
      <w:r w:rsidR="005245D2">
        <w:rPr>
          <w:rFonts w:ascii="Times New Roman" w:hAnsi="Times New Roman" w:cs="Times New Roman"/>
          <w:sz w:val="18"/>
          <w:szCs w:val="20"/>
        </w:rPr>
        <w:t xml:space="preserve">agreed with Imreh about </w:t>
      </w:r>
      <w:r w:rsidR="008F254A" w:rsidRPr="008F254A">
        <w:rPr>
          <w:rFonts w:ascii="Times New Roman" w:hAnsi="Times New Roman" w:cs="Times New Roman"/>
          <w:sz w:val="18"/>
          <w:szCs w:val="20"/>
        </w:rPr>
        <w:t xml:space="preserve">63% </w:t>
      </w:r>
      <w:r w:rsidR="005245D2">
        <w:rPr>
          <w:rFonts w:ascii="Times New Roman" w:hAnsi="Times New Roman" w:cs="Times New Roman"/>
          <w:sz w:val="18"/>
          <w:szCs w:val="20"/>
        </w:rPr>
        <w:t>of hers.</w:t>
      </w:r>
      <w:r w:rsidR="008F254A" w:rsidRPr="008F254A">
        <w:rPr>
          <w:rFonts w:ascii="Times New Roman" w:hAnsi="Times New Roman" w:cs="Times New Roman"/>
          <w:sz w:val="18"/>
          <w:szCs w:val="20"/>
        </w:rPr>
        <w:t xml:space="preserve"> </w:t>
      </w:r>
      <w:r w:rsidR="001E3953">
        <w:rPr>
          <w:rFonts w:ascii="Times New Roman" w:hAnsi="Times New Roman" w:cs="Times New Roman"/>
          <w:sz w:val="18"/>
          <w:szCs w:val="20"/>
        </w:rPr>
        <w:t xml:space="preserve"> </w:t>
      </w:r>
      <w:r w:rsidR="008F254A" w:rsidRPr="008F254A">
        <w:rPr>
          <w:rFonts w:ascii="Times New Roman" w:hAnsi="Times New Roman" w:cs="Times New Roman"/>
          <w:sz w:val="18"/>
          <w:szCs w:val="20"/>
        </w:rPr>
        <w:t xml:space="preserve">(The </w:t>
      </w:r>
      <w:r w:rsidR="000E03F1">
        <w:rPr>
          <w:rFonts w:ascii="Times New Roman" w:hAnsi="Times New Roman" w:cs="Times New Roman"/>
          <w:sz w:val="18"/>
          <w:szCs w:val="20"/>
        </w:rPr>
        <w:t>K</w:t>
      </w:r>
      <w:r w:rsidR="000B0922">
        <w:rPr>
          <w:rFonts w:ascii="Times New Roman" w:hAnsi="Times New Roman" w:cs="Times New Roman"/>
          <w:sz w:val="18"/>
          <w:szCs w:val="20"/>
        </w:rPr>
        <w:t xml:space="preserve">appa </w:t>
      </w:r>
      <w:r w:rsidR="008F254A" w:rsidRPr="008F254A">
        <w:rPr>
          <w:rFonts w:ascii="Times New Roman" w:hAnsi="Times New Roman" w:cs="Times New Roman"/>
          <w:sz w:val="18"/>
          <w:szCs w:val="20"/>
        </w:rPr>
        <w:t>values in Figu</w:t>
      </w:r>
      <w:r w:rsidR="000B0922">
        <w:rPr>
          <w:rFonts w:ascii="Times New Roman" w:hAnsi="Times New Roman" w:cs="Times New Roman"/>
          <w:sz w:val="18"/>
          <w:szCs w:val="20"/>
        </w:rPr>
        <w:t xml:space="preserve">re 3 are lower than these percentages would suggest </w:t>
      </w:r>
      <w:r w:rsidR="008F254A" w:rsidRPr="008F254A">
        <w:rPr>
          <w:rFonts w:ascii="Times New Roman" w:hAnsi="Times New Roman" w:cs="Times New Roman"/>
          <w:sz w:val="18"/>
          <w:szCs w:val="20"/>
        </w:rPr>
        <w:t xml:space="preserve">because </w:t>
      </w:r>
      <w:r w:rsidR="005245D2">
        <w:rPr>
          <w:rFonts w:ascii="Times New Roman" w:hAnsi="Times New Roman" w:cs="Times New Roman"/>
          <w:sz w:val="18"/>
          <w:szCs w:val="20"/>
        </w:rPr>
        <w:t>Imreh</w:t>
      </w:r>
      <w:r w:rsidR="008F254A" w:rsidRPr="008F254A">
        <w:rPr>
          <w:rFonts w:ascii="Times New Roman" w:hAnsi="Times New Roman" w:cs="Times New Roman"/>
          <w:sz w:val="18"/>
          <w:szCs w:val="20"/>
        </w:rPr>
        <w:t xml:space="preserve"> had </w:t>
      </w:r>
      <w:r w:rsidR="00CA1E4E">
        <w:rPr>
          <w:rFonts w:ascii="Times New Roman" w:hAnsi="Times New Roman" w:cs="Times New Roman"/>
          <w:sz w:val="18"/>
          <w:szCs w:val="20"/>
        </w:rPr>
        <w:t xml:space="preserve">many more </w:t>
      </w:r>
      <w:r w:rsidR="008F254A" w:rsidRPr="008F254A">
        <w:rPr>
          <w:rFonts w:ascii="Times New Roman" w:hAnsi="Times New Roman" w:cs="Times New Roman"/>
          <w:sz w:val="18"/>
          <w:szCs w:val="20"/>
        </w:rPr>
        <w:t xml:space="preserve">expressive PCs </w:t>
      </w:r>
      <w:r w:rsidR="00CA1E4E">
        <w:rPr>
          <w:rFonts w:ascii="Times New Roman" w:hAnsi="Times New Roman" w:cs="Times New Roman"/>
          <w:sz w:val="18"/>
          <w:szCs w:val="20"/>
        </w:rPr>
        <w:t xml:space="preserve">than the </w:t>
      </w:r>
      <w:r w:rsidR="00787929">
        <w:rPr>
          <w:rFonts w:ascii="Times New Roman" w:hAnsi="Times New Roman" w:cs="Times New Roman"/>
          <w:sz w:val="18"/>
          <w:szCs w:val="20"/>
        </w:rPr>
        <w:t>student</w:t>
      </w:r>
      <w:r w:rsidR="005245D2">
        <w:rPr>
          <w:rFonts w:ascii="Times New Roman" w:hAnsi="Times New Roman" w:cs="Times New Roman"/>
          <w:sz w:val="18"/>
          <w:szCs w:val="20"/>
        </w:rPr>
        <w:t>s</w:t>
      </w:r>
      <w:r w:rsidR="008F254A" w:rsidRPr="008F254A">
        <w:rPr>
          <w:rFonts w:ascii="Times New Roman" w:hAnsi="Times New Roman" w:cs="Times New Roman"/>
          <w:sz w:val="18"/>
          <w:szCs w:val="20"/>
        </w:rPr>
        <w:t xml:space="preserve">). </w:t>
      </w:r>
      <w:r w:rsidR="001E3953">
        <w:rPr>
          <w:rFonts w:ascii="Times New Roman" w:hAnsi="Times New Roman" w:cs="Times New Roman"/>
          <w:sz w:val="18"/>
          <w:szCs w:val="20"/>
        </w:rPr>
        <w:t xml:space="preserve"> </w:t>
      </w:r>
      <w:r w:rsidR="008F254A" w:rsidRPr="008F254A">
        <w:rPr>
          <w:rFonts w:ascii="Times New Roman" w:hAnsi="Times New Roman" w:cs="Times New Roman"/>
          <w:sz w:val="18"/>
          <w:szCs w:val="20"/>
        </w:rPr>
        <w:t xml:space="preserve">The students also agreed with each </w:t>
      </w:r>
      <w:r w:rsidR="00BB4F33">
        <w:rPr>
          <w:rFonts w:ascii="Times New Roman" w:hAnsi="Times New Roman" w:cs="Times New Roman"/>
          <w:sz w:val="18"/>
          <w:szCs w:val="20"/>
        </w:rPr>
        <w:t>other</w:t>
      </w:r>
      <w:r w:rsidR="000B0922">
        <w:rPr>
          <w:rFonts w:ascii="Times New Roman" w:hAnsi="Times New Roman" w:cs="Times New Roman"/>
          <w:sz w:val="18"/>
          <w:szCs w:val="20"/>
        </w:rPr>
        <w:t xml:space="preserve"> </w:t>
      </w:r>
      <w:r w:rsidR="00A83E67">
        <w:rPr>
          <w:rFonts w:ascii="Times New Roman" w:hAnsi="Times New Roman" w:cs="Times New Roman"/>
          <w:sz w:val="18"/>
          <w:szCs w:val="20"/>
        </w:rPr>
        <w:t xml:space="preserve">about </w:t>
      </w:r>
      <w:r w:rsidR="000B0922">
        <w:rPr>
          <w:rFonts w:ascii="Times New Roman" w:hAnsi="Times New Roman" w:cs="Times New Roman"/>
          <w:sz w:val="18"/>
          <w:szCs w:val="20"/>
        </w:rPr>
        <w:t>expressive PC</w:t>
      </w:r>
      <w:r w:rsidR="00A83E67">
        <w:rPr>
          <w:rFonts w:ascii="Times New Roman" w:hAnsi="Times New Roman" w:cs="Times New Roman"/>
          <w:sz w:val="18"/>
          <w:szCs w:val="20"/>
        </w:rPr>
        <w:t>s</w:t>
      </w:r>
      <w:r w:rsidR="00BB4F33">
        <w:rPr>
          <w:rFonts w:ascii="Times New Roman" w:hAnsi="Times New Roman" w:cs="Times New Roman"/>
          <w:sz w:val="18"/>
          <w:szCs w:val="20"/>
        </w:rPr>
        <w:t xml:space="preserve"> (Kappa=.296)</w:t>
      </w:r>
      <w:r w:rsidR="001E3953">
        <w:rPr>
          <w:rFonts w:ascii="Times New Roman" w:hAnsi="Times New Roman" w:cs="Times New Roman"/>
          <w:sz w:val="18"/>
          <w:szCs w:val="20"/>
        </w:rPr>
        <w:t>,</w:t>
      </w:r>
      <w:r w:rsidR="00BB4F33">
        <w:rPr>
          <w:rFonts w:ascii="Times New Roman" w:hAnsi="Times New Roman" w:cs="Times New Roman"/>
          <w:sz w:val="18"/>
          <w:szCs w:val="20"/>
        </w:rPr>
        <w:t xml:space="preserve"> </w:t>
      </w:r>
      <w:r w:rsidR="008F254A" w:rsidRPr="008F254A">
        <w:rPr>
          <w:rFonts w:ascii="Times New Roman" w:hAnsi="Times New Roman" w:cs="Times New Roman"/>
          <w:sz w:val="18"/>
          <w:szCs w:val="20"/>
        </w:rPr>
        <w:t xml:space="preserve">but at a lower level than with Imreh. </w:t>
      </w:r>
    </w:p>
    <w:p w:rsidR="00BB4F33" w:rsidRPr="008F254A" w:rsidRDefault="00BB4F33" w:rsidP="00BB4F33">
      <w:pPr>
        <w:spacing w:before="140" w:after="0" w:line="219" w:lineRule="exact"/>
        <w:jc w:val="both"/>
        <w:rPr>
          <w:rFonts w:ascii="Times New Roman" w:hAnsi="Times New Roman" w:cs="Times New Roman"/>
          <w:sz w:val="18"/>
          <w:szCs w:val="20"/>
        </w:rPr>
      </w:pPr>
      <w:r w:rsidRPr="008F254A">
        <w:rPr>
          <w:rFonts w:ascii="Times New Roman" w:hAnsi="Times New Roman" w:cs="Times New Roman"/>
          <w:sz w:val="18"/>
          <w:szCs w:val="20"/>
        </w:rPr>
        <w:t xml:space="preserve">The students </w:t>
      </w:r>
      <w:r>
        <w:rPr>
          <w:rFonts w:ascii="Times New Roman" w:hAnsi="Times New Roman" w:cs="Times New Roman"/>
          <w:sz w:val="18"/>
          <w:szCs w:val="20"/>
        </w:rPr>
        <w:t xml:space="preserve">had </w:t>
      </w:r>
      <w:r w:rsidRPr="008F254A">
        <w:rPr>
          <w:rFonts w:ascii="Times New Roman" w:hAnsi="Times New Roman" w:cs="Times New Roman"/>
          <w:sz w:val="18"/>
          <w:szCs w:val="20"/>
        </w:rPr>
        <w:t>lower leve</w:t>
      </w:r>
      <w:r w:rsidR="000B0922">
        <w:rPr>
          <w:rFonts w:ascii="Times New Roman" w:hAnsi="Times New Roman" w:cs="Times New Roman"/>
          <w:sz w:val="18"/>
          <w:szCs w:val="20"/>
        </w:rPr>
        <w:t>ls of agreement with Imreh for interpretive and b</w:t>
      </w:r>
      <w:r w:rsidRPr="008F254A">
        <w:rPr>
          <w:rFonts w:ascii="Times New Roman" w:hAnsi="Times New Roman" w:cs="Times New Roman"/>
          <w:sz w:val="18"/>
          <w:szCs w:val="20"/>
        </w:rPr>
        <w:t>asic PCs.  Th</w:t>
      </w:r>
      <w:r w:rsidR="000B0922">
        <w:rPr>
          <w:rFonts w:ascii="Times New Roman" w:hAnsi="Times New Roman" w:cs="Times New Roman"/>
          <w:sz w:val="18"/>
          <w:szCs w:val="20"/>
        </w:rPr>
        <w:t xml:space="preserve">e MA student shared </w:t>
      </w:r>
      <w:r w:rsidR="000B0922">
        <w:rPr>
          <w:rFonts w:ascii="Times New Roman" w:hAnsi="Times New Roman" w:cs="Times New Roman"/>
          <w:sz w:val="18"/>
          <w:szCs w:val="20"/>
        </w:rPr>
        <w:lastRenderedPageBreak/>
        <w:t>85% of his i</w:t>
      </w:r>
      <w:r w:rsidRPr="008F254A">
        <w:rPr>
          <w:rFonts w:ascii="Times New Roman" w:hAnsi="Times New Roman" w:cs="Times New Roman"/>
          <w:sz w:val="18"/>
          <w:szCs w:val="20"/>
        </w:rPr>
        <w:t>nterpretive PC locations with Imreh and the BA student share</w:t>
      </w:r>
      <w:r>
        <w:rPr>
          <w:rFonts w:ascii="Times New Roman" w:hAnsi="Times New Roman" w:cs="Times New Roman"/>
          <w:sz w:val="18"/>
          <w:szCs w:val="20"/>
        </w:rPr>
        <w:t xml:space="preserve">d 78%.  </w:t>
      </w:r>
      <w:r w:rsidRPr="008F254A">
        <w:rPr>
          <w:rFonts w:ascii="Times New Roman" w:hAnsi="Times New Roman" w:cs="Times New Roman"/>
          <w:sz w:val="18"/>
          <w:szCs w:val="20"/>
        </w:rPr>
        <w:t xml:space="preserve">In the case of </w:t>
      </w:r>
      <w:r w:rsidR="005245D2">
        <w:rPr>
          <w:rFonts w:ascii="Times New Roman" w:hAnsi="Times New Roman" w:cs="Times New Roman"/>
          <w:sz w:val="18"/>
          <w:szCs w:val="20"/>
        </w:rPr>
        <w:t>b</w:t>
      </w:r>
      <w:r w:rsidRPr="008F254A">
        <w:rPr>
          <w:rFonts w:ascii="Times New Roman" w:hAnsi="Times New Roman" w:cs="Times New Roman"/>
          <w:sz w:val="18"/>
          <w:szCs w:val="20"/>
        </w:rPr>
        <w:t xml:space="preserve">asic PCs, only the BA student had significant agreement with Imreh (82% overlap). </w:t>
      </w:r>
      <w:r w:rsidR="000B0922">
        <w:rPr>
          <w:rFonts w:ascii="Times New Roman" w:hAnsi="Times New Roman" w:cs="Times New Roman"/>
          <w:sz w:val="18"/>
          <w:szCs w:val="20"/>
        </w:rPr>
        <w:t xml:space="preserve"> </w:t>
      </w:r>
      <w:r w:rsidRPr="008F254A">
        <w:rPr>
          <w:rFonts w:ascii="Times New Roman" w:hAnsi="Times New Roman" w:cs="Times New Roman"/>
          <w:sz w:val="18"/>
          <w:szCs w:val="20"/>
        </w:rPr>
        <w:t>Agreement for the MA student was lower</w:t>
      </w:r>
      <w:r w:rsidR="000B0922">
        <w:rPr>
          <w:rFonts w:ascii="Times New Roman" w:hAnsi="Times New Roman" w:cs="Times New Roman"/>
          <w:sz w:val="18"/>
          <w:szCs w:val="20"/>
        </w:rPr>
        <w:t xml:space="preserve"> (73%)</w:t>
      </w:r>
      <w:r w:rsidRPr="008F254A">
        <w:rPr>
          <w:rFonts w:ascii="Times New Roman" w:hAnsi="Times New Roman" w:cs="Times New Roman"/>
          <w:sz w:val="18"/>
          <w:szCs w:val="20"/>
        </w:rPr>
        <w:t xml:space="preserve"> </w:t>
      </w:r>
      <w:r>
        <w:rPr>
          <w:rFonts w:ascii="Times New Roman" w:hAnsi="Times New Roman" w:cs="Times New Roman"/>
          <w:sz w:val="18"/>
          <w:szCs w:val="20"/>
        </w:rPr>
        <w:t>and not significantly different from chance</w:t>
      </w:r>
      <w:r w:rsidRPr="008F254A">
        <w:rPr>
          <w:rFonts w:ascii="Times New Roman" w:hAnsi="Times New Roman" w:cs="Times New Roman"/>
          <w:sz w:val="18"/>
          <w:szCs w:val="20"/>
        </w:rPr>
        <w:t xml:space="preserve">. </w:t>
      </w:r>
    </w:p>
    <w:p w:rsidR="008F254A" w:rsidRPr="008F254A" w:rsidRDefault="008F254A" w:rsidP="008F254A">
      <w:pPr>
        <w:spacing w:before="140" w:after="0" w:line="219" w:lineRule="exact"/>
        <w:jc w:val="both"/>
        <w:rPr>
          <w:rFonts w:ascii="Times New Roman" w:hAnsi="Times New Roman" w:cs="Times New Roman"/>
          <w:sz w:val="18"/>
          <w:szCs w:val="20"/>
        </w:rPr>
      </w:pPr>
      <w:r w:rsidRPr="008F254A">
        <w:rPr>
          <w:rFonts w:ascii="Times New Roman" w:hAnsi="Times New Roman" w:cs="Times New Roman"/>
          <w:sz w:val="18"/>
          <w:szCs w:val="20"/>
        </w:rPr>
        <w:t xml:space="preserve">The high level of agreement for expressive and structural PCs suggests that </w:t>
      </w:r>
      <w:r w:rsidR="0050456E">
        <w:rPr>
          <w:rFonts w:ascii="Times New Roman" w:hAnsi="Times New Roman" w:cs="Times New Roman"/>
          <w:sz w:val="18"/>
          <w:szCs w:val="20"/>
        </w:rPr>
        <w:t xml:space="preserve">the </w:t>
      </w:r>
      <w:r w:rsidRPr="008F254A">
        <w:rPr>
          <w:rFonts w:ascii="Times New Roman" w:hAnsi="Times New Roman" w:cs="Times New Roman"/>
          <w:sz w:val="18"/>
          <w:szCs w:val="20"/>
        </w:rPr>
        <w:t xml:space="preserve">musicians agreed in their assessment of the musical structure and the expressive turning points of the piece, despite differing levels of </w:t>
      </w:r>
      <w:r w:rsidR="0050456E">
        <w:rPr>
          <w:rFonts w:ascii="Times New Roman" w:hAnsi="Times New Roman" w:cs="Times New Roman"/>
          <w:sz w:val="18"/>
          <w:szCs w:val="20"/>
        </w:rPr>
        <w:t xml:space="preserve">training </w:t>
      </w:r>
      <w:r w:rsidRPr="008F254A">
        <w:rPr>
          <w:rFonts w:ascii="Times New Roman" w:hAnsi="Times New Roman" w:cs="Times New Roman"/>
          <w:sz w:val="18"/>
          <w:szCs w:val="20"/>
        </w:rPr>
        <w:t xml:space="preserve">and </w:t>
      </w:r>
      <w:r w:rsidR="0050456E">
        <w:rPr>
          <w:rFonts w:ascii="Times New Roman" w:hAnsi="Times New Roman" w:cs="Times New Roman"/>
          <w:sz w:val="18"/>
          <w:szCs w:val="20"/>
        </w:rPr>
        <w:t>experience</w:t>
      </w:r>
      <w:r w:rsidRPr="008F254A">
        <w:rPr>
          <w:rFonts w:ascii="Times New Roman" w:hAnsi="Times New Roman" w:cs="Times New Roman"/>
          <w:sz w:val="18"/>
          <w:szCs w:val="20"/>
        </w:rPr>
        <w:t xml:space="preserve">. The </w:t>
      </w:r>
      <w:r w:rsidR="00787929">
        <w:rPr>
          <w:rFonts w:ascii="Times New Roman" w:hAnsi="Times New Roman" w:cs="Times New Roman"/>
          <w:sz w:val="18"/>
          <w:szCs w:val="20"/>
        </w:rPr>
        <w:t>result</w:t>
      </w:r>
      <w:r w:rsidR="00787929" w:rsidRPr="008F254A">
        <w:rPr>
          <w:rFonts w:ascii="Times New Roman" w:hAnsi="Times New Roman" w:cs="Times New Roman"/>
          <w:sz w:val="18"/>
          <w:szCs w:val="20"/>
        </w:rPr>
        <w:t xml:space="preserve"> </w:t>
      </w:r>
      <w:r w:rsidRPr="008F254A">
        <w:rPr>
          <w:rFonts w:ascii="Times New Roman" w:hAnsi="Times New Roman" w:cs="Times New Roman"/>
          <w:sz w:val="18"/>
          <w:szCs w:val="20"/>
        </w:rPr>
        <w:t xml:space="preserve">is not </w:t>
      </w:r>
      <w:r w:rsidR="00787929" w:rsidRPr="008F254A">
        <w:rPr>
          <w:rFonts w:ascii="Times New Roman" w:hAnsi="Times New Roman" w:cs="Times New Roman"/>
          <w:sz w:val="18"/>
          <w:szCs w:val="20"/>
        </w:rPr>
        <w:t>surprising</w:t>
      </w:r>
      <w:r w:rsidR="00787929">
        <w:rPr>
          <w:rFonts w:ascii="Times New Roman" w:hAnsi="Times New Roman" w:cs="Times New Roman"/>
          <w:sz w:val="18"/>
          <w:szCs w:val="20"/>
        </w:rPr>
        <w:t>, because</w:t>
      </w:r>
      <w:r w:rsidRPr="008F254A">
        <w:rPr>
          <w:rFonts w:ascii="Times New Roman" w:hAnsi="Times New Roman" w:cs="Times New Roman"/>
          <w:sz w:val="18"/>
          <w:szCs w:val="20"/>
        </w:rPr>
        <w:t xml:space="preserve"> the location of expressive and structural PCs was driven by the relevant properties of the music. From this perspective, it is </w:t>
      </w:r>
      <w:r w:rsidR="003E39EF">
        <w:rPr>
          <w:rFonts w:ascii="Times New Roman" w:hAnsi="Times New Roman" w:cs="Times New Roman"/>
          <w:sz w:val="18"/>
          <w:szCs w:val="20"/>
        </w:rPr>
        <w:t>interesting</w:t>
      </w:r>
      <w:r w:rsidR="003E39EF" w:rsidRPr="008F254A">
        <w:rPr>
          <w:rFonts w:ascii="Times New Roman" w:hAnsi="Times New Roman" w:cs="Times New Roman"/>
          <w:sz w:val="18"/>
          <w:szCs w:val="20"/>
        </w:rPr>
        <w:t xml:space="preserve"> </w:t>
      </w:r>
      <w:r w:rsidRPr="008F254A">
        <w:rPr>
          <w:rFonts w:ascii="Times New Roman" w:hAnsi="Times New Roman" w:cs="Times New Roman"/>
          <w:sz w:val="18"/>
          <w:szCs w:val="20"/>
        </w:rPr>
        <w:t xml:space="preserve">that </w:t>
      </w:r>
      <w:r w:rsidR="00CA1E4E">
        <w:rPr>
          <w:rFonts w:ascii="Times New Roman" w:hAnsi="Times New Roman" w:cs="Times New Roman"/>
          <w:sz w:val="18"/>
          <w:szCs w:val="20"/>
        </w:rPr>
        <w:t xml:space="preserve">agreement about the musical structure was much higher than for expressive PCs. </w:t>
      </w:r>
      <w:r w:rsidR="003E39EF">
        <w:rPr>
          <w:rFonts w:ascii="Times New Roman" w:hAnsi="Times New Roman" w:cs="Times New Roman"/>
          <w:sz w:val="18"/>
          <w:szCs w:val="20"/>
        </w:rPr>
        <w:t xml:space="preserve">Even </w:t>
      </w:r>
      <w:r w:rsidR="00787929">
        <w:rPr>
          <w:rFonts w:ascii="Times New Roman" w:hAnsi="Times New Roman" w:cs="Times New Roman"/>
          <w:sz w:val="18"/>
          <w:szCs w:val="20"/>
        </w:rPr>
        <w:t>f</w:t>
      </w:r>
      <w:r w:rsidR="00CA1E4E">
        <w:rPr>
          <w:rFonts w:ascii="Times New Roman" w:hAnsi="Times New Roman" w:cs="Times New Roman"/>
          <w:sz w:val="18"/>
          <w:szCs w:val="20"/>
        </w:rPr>
        <w:t xml:space="preserve">or structure, </w:t>
      </w:r>
      <w:r w:rsidR="003E39EF">
        <w:rPr>
          <w:rFonts w:ascii="Times New Roman" w:hAnsi="Times New Roman" w:cs="Times New Roman"/>
          <w:sz w:val="18"/>
          <w:szCs w:val="20"/>
        </w:rPr>
        <w:t xml:space="preserve">however, </w:t>
      </w:r>
      <w:r w:rsidR="00CA1E4E">
        <w:rPr>
          <w:rFonts w:ascii="Times New Roman" w:hAnsi="Times New Roman" w:cs="Times New Roman"/>
          <w:sz w:val="18"/>
          <w:szCs w:val="20"/>
        </w:rPr>
        <w:t xml:space="preserve">the </w:t>
      </w:r>
      <w:r w:rsidRPr="008F254A">
        <w:rPr>
          <w:rFonts w:ascii="Times New Roman" w:hAnsi="Times New Roman" w:cs="Times New Roman"/>
          <w:sz w:val="18"/>
          <w:szCs w:val="20"/>
        </w:rPr>
        <w:t xml:space="preserve">musicians were far from unanimous. </w:t>
      </w:r>
      <w:r w:rsidR="001E3953">
        <w:rPr>
          <w:rFonts w:ascii="Times New Roman" w:hAnsi="Times New Roman" w:cs="Times New Roman"/>
          <w:sz w:val="18"/>
          <w:szCs w:val="20"/>
        </w:rPr>
        <w:t xml:space="preserve"> </w:t>
      </w:r>
      <w:r w:rsidR="00CA1E4E">
        <w:rPr>
          <w:rFonts w:ascii="Times New Roman" w:hAnsi="Times New Roman" w:cs="Times New Roman"/>
          <w:sz w:val="18"/>
          <w:szCs w:val="20"/>
        </w:rPr>
        <w:t>E</w:t>
      </w:r>
      <w:r w:rsidRPr="008F254A">
        <w:rPr>
          <w:rFonts w:ascii="Times New Roman" w:hAnsi="Times New Roman" w:cs="Times New Roman"/>
          <w:sz w:val="18"/>
          <w:szCs w:val="20"/>
        </w:rPr>
        <w:t xml:space="preserve">ach musician had </w:t>
      </w:r>
      <w:r w:rsidR="00AE6B01">
        <w:rPr>
          <w:rFonts w:ascii="Times New Roman" w:hAnsi="Times New Roman" w:cs="Times New Roman"/>
          <w:sz w:val="18"/>
          <w:szCs w:val="20"/>
        </w:rPr>
        <w:t xml:space="preserve">a unique </w:t>
      </w:r>
      <w:r w:rsidRPr="008F254A">
        <w:rPr>
          <w:rFonts w:ascii="Times New Roman" w:hAnsi="Times New Roman" w:cs="Times New Roman"/>
          <w:sz w:val="18"/>
          <w:szCs w:val="20"/>
        </w:rPr>
        <w:t xml:space="preserve">view of </w:t>
      </w:r>
      <w:r w:rsidR="00295860">
        <w:rPr>
          <w:rFonts w:ascii="Times New Roman" w:hAnsi="Times New Roman" w:cs="Times New Roman"/>
          <w:sz w:val="18"/>
          <w:szCs w:val="20"/>
        </w:rPr>
        <w:t xml:space="preserve">which </w:t>
      </w:r>
      <w:r w:rsidR="00787929">
        <w:rPr>
          <w:rFonts w:ascii="Times New Roman" w:hAnsi="Times New Roman" w:cs="Times New Roman"/>
          <w:sz w:val="18"/>
          <w:szCs w:val="20"/>
        </w:rPr>
        <w:t xml:space="preserve">locations </w:t>
      </w:r>
      <w:r w:rsidR="003E39EF">
        <w:rPr>
          <w:rFonts w:ascii="Times New Roman" w:hAnsi="Times New Roman" w:cs="Times New Roman"/>
          <w:sz w:val="18"/>
          <w:szCs w:val="20"/>
        </w:rPr>
        <w:t xml:space="preserve">in </w:t>
      </w:r>
      <w:r w:rsidR="00787929">
        <w:rPr>
          <w:rFonts w:ascii="Times New Roman" w:hAnsi="Times New Roman" w:cs="Times New Roman"/>
          <w:sz w:val="18"/>
          <w:szCs w:val="20"/>
        </w:rPr>
        <w:t>the</w:t>
      </w:r>
      <w:r w:rsidR="00295860">
        <w:rPr>
          <w:rFonts w:ascii="Times New Roman" w:hAnsi="Times New Roman" w:cs="Times New Roman"/>
          <w:sz w:val="18"/>
          <w:szCs w:val="20"/>
        </w:rPr>
        <w:t xml:space="preserve"> </w:t>
      </w:r>
      <w:r w:rsidRPr="008F254A">
        <w:rPr>
          <w:rFonts w:ascii="Times New Roman" w:hAnsi="Times New Roman" w:cs="Times New Roman"/>
          <w:sz w:val="18"/>
          <w:szCs w:val="20"/>
        </w:rPr>
        <w:t>musical structure</w:t>
      </w:r>
      <w:r w:rsidR="00295860">
        <w:rPr>
          <w:rFonts w:ascii="Times New Roman" w:hAnsi="Times New Roman" w:cs="Times New Roman"/>
          <w:sz w:val="18"/>
          <w:szCs w:val="20"/>
        </w:rPr>
        <w:t xml:space="preserve"> </w:t>
      </w:r>
      <w:r w:rsidR="00457300">
        <w:rPr>
          <w:rFonts w:ascii="Times New Roman" w:hAnsi="Times New Roman" w:cs="Times New Roman"/>
          <w:sz w:val="18"/>
          <w:szCs w:val="20"/>
        </w:rPr>
        <w:t>were</w:t>
      </w:r>
      <w:r w:rsidR="00787929">
        <w:rPr>
          <w:rFonts w:ascii="Times New Roman" w:hAnsi="Times New Roman" w:cs="Times New Roman"/>
          <w:sz w:val="18"/>
          <w:szCs w:val="20"/>
        </w:rPr>
        <w:t xml:space="preserve"> </w:t>
      </w:r>
      <w:r w:rsidR="00295860">
        <w:rPr>
          <w:rFonts w:ascii="Times New Roman" w:hAnsi="Times New Roman" w:cs="Times New Roman"/>
          <w:sz w:val="18"/>
          <w:szCs w:val="20"/>
        </w:rPr>
        <w:t xml:space="preserve">most important to </w:t>
      </w:r>
      <w:r w:rsidR="003E39EF">
        <w:rPr>
          <w:rFonts w:ascii="Times New Roman" w:hAnsi="Times New Roman" w:cs="Times New Roman"/>
          <w:sz w:val="18"/>
          <w:szCs w:val="20"/>
        </w:rPr>
        <w:t>attend to during performance.</w:t>
      </w:r>
    </w:p>
    <w:p w:rsidR="00AE6B01" w:rsidRDefault="008F254A" w:rsidP="00A300F4">
      <w:pPr>
        <w:spacing w:before="140" w:after="0" w:line="219" w:lineRule="exact"/>
        <w:jc w:val="both"/>
        <w:rPr>
          <w:rFonts w:ascii="Times New Roman" w:hAnsi="Times New Roman" w:cs="Times New Roman"/>
          <w:sz w:val="18"/>
          <w:szCs w:val="18"/>
        </w:rPr>
      </w:pPr>
      <w:r w:rsidRPr="008F254A">
        <w:rPr>
          <w:rFonts w:ascii="Times New Roman" w:hAnsi="Times New Roman" w:cs="Times New Roman"/>
          <w:sz w:val="18"/>
          <w:szCs w:val="20"/>
        </w:rPr>
        <w:t xml:space="preserve">Figure </w:t>
      </w:r>
      <w:r w:rsidR="00BB4F33">
        <w:rPr>
          <w:rFonts w:ascii="Times New Roman" w:hAnsi="Times New Roman" w:cs="Times New Roman"/>
          <w:sz w:val="18"/>
          <w:szCs w:val="20"/>
        </w:rPr>
        <w:t>4</w:t>
      </w:r>
      <w:r w:rsidRPr="008F254A">
        <w:rPr>
          <w:rFonts w:ascii="Times New Roman" w:hAnsi="Times New Roman" w:cs="Times New Roman"/>
          <w:sz w:val="18"/>
          <w:szCs w:val="20"/>
        </w:rPr>
        <w:t xml:space="preserve"> shows the extent to which the three pianists reported multiple PCs of different types </w:t>
      </w:r>
      <w:r w:rsidR="00EE6EEE">
        <w:rPr>
          <w:rFonts w:ascii="Times New Roman" w:hAnsi="Times New Roman" w:cs="Times New Roman"/>
          <w:sz w:val="18"/>
          <w:szCs w:val="20"/>
        </w:rPr>
        <w:t>in</w:t>
      </w:r>
      <w:r w:rsidR="00EE6EEE" w:rsidRPr="008F254A">
        <w:rPr>
          <w:rFonts w:ascii="Times New Roman" w:hAnsi="Times New Roman" w:cs="Times New Roman"/>
          <w:sz w:val="18"/>
          <w:szCs w:val="20"/>
        </w:rPr>
        <w:t xml:space="preserve"> </w:t>
      </w:r>
      <w:r w:rsidRPr="008F254A">
        <w:rPr>
          <w:rFonts w:ascii="Times New Roman" w:hAnsi="Times New Roman" w:cs="Times New Roman"/>
          <w:sz w:val="18"/>
          <w:szCs w:val="20"/>
        </w:rPr>
        <w:t xml:space="preserve">the same </w:t>
      </w:r>
      <w:r w:rsidR="00EE6EEE">
        <w:rPr>
          <w:rFonts w:ascii="Times New Roman" w:hAnsi="Times New Roman" w:cs="Times New Roman"/>
          <w:sz w:val="18"/>
          <w:szCs w:val="20"/>
        </w:rPr>
        <w:t>bars</w:t>
      </w:r>
      <w:r w:rsidRPr="008F254A">
        <w:rPr>
          <w:rFonts w:ascii="Times New Roman" w:hAnsi="Times New Roman" w:cs="Times New Roman"/>
          <w:sz w:val="18"/>
          <w:szCs w:val="20"/>
        </w:rPr>
        <w:t xml:space="preserve">. For example, basic, interpretive, and expressive PCs at the same spot might </w:t>
      </w:r>
      <w:r w:rsidR="0050456E">
        <w:rPr>
          <w:rFonts w:ascii="Times New Roman" w:hAnsi="Times New Roman" w:cs="Times New Roman"/>
          <w:sz w:val="18"/>
          <w:szCs w:val="20"/>
        </w:rPr>
        <w:t xml:space="preserve">reflect </w:t>
      </w:r>
      <w:r w:rsidRPr="008F254A">
        <w:rPr>
          <w:rFonts w:ascii="Times New Roman" w:hAnsi="Times New Roman" w:cs="Times New Roman"/>
          <w:sz w:val="18"/>
          <w:szCs w:val="20"/>
        </w:rPr>
        <w:t xml:space="preserve">decisions to use the “1st finger” (basic) in order to play forte (interpretation), to </w:t>
      </w:r>
      <w:r w:rsidR="0050456E">
        <w:rPr>
          <w:rFonts w:ascii="Times New Roman" w:hAnsi="Times New Roman" w:cs="Times New Roman"/>
          <w:sz w:val="18"/>
          <w:szCs w:val="20"/>
        </w:rPr>
        <w:t>create</w:t>
      </w:r>
      <w:r w:rsidR="0050456E" w:rsidRPr="008F254A">
        <w:rPr>
          <w:rFonts w:ascii="Times New Roman" w:hAnsi="Times New Roman" w:cs="Times New Roman"/>
          <w:sz w:val="18"/>
          <w:szCs w:val="20"/>
        </w:rPr>
        <w:t xml:space="preserve"> </w:t>
      </w:r>
      <w:r w:rsidRPr="008F254A">
        <w:rPr>
          <w:rFonts w:ascii="Times New Roman" w:hAnsi="Times New Roman" w:cs="Times New Roman"/>
          <w:sz w:val="18"/>
          <w:szCs w:val="20"/>
        </w:rPr>
        <w:t xml:space="preserve">a “climax” (expression). The presence of the three different PC’s would </w:t>
      </w:r>
      <w:r w:rsidR="0050456E">
        <w:rPr>
          <w:rFonts w:ascii="Times New Roman" w:hAnsi="Times New Roman" w:cs="Times New Roman"/>
          <w:sz w:val="18"/>
          <w:szCs w:val="20"/>
        </w:rPr>
        <w:t>provide the pianist with flexibility. On</w:t>
      </w:r>
      <w:r w:rsidR="00E778CE" w:rsidRPr="00A300F4">
        <w:rPr>
          <w:rFonts w:ascii="Times New Roman" w:hAnsi="Times New Roman" w:cs="Times New Roman"/>
          <w:sz w:val="18"/>
          <w:szCs w:val="20"/>
        </w:rPr>
        <w:t xml:space="preserve"> a good day, the </w:t>
      </w:r>
      <w:r w:rsidR="0050456E" w:rsidRPr="00A300F4">
        <w:rPr>
          <w:rFonts w:ascii="Times New Roman" w:hAnsi="Times New Roman" w:cs="Times New Roman"/>
          <w:sz w:val="18"/>
          <w:szCs w:val="20"/>
        </w:rPr>
        <w:t>pianist</w:t>
      </w:r>
      <w:r w:rsidR="00E778CE" w:rsidRPr="00A300F4">
        <w:rPr>
          <w:rFonts w:ascii="Times New Roman" w:hAnsi="Times New Roman" w:cs="Times New Roman"/>
          <w:sz w:val="18"/>
          <w:szCs w:val="20"/>
        </w:rPr>
        <w:t xml:space="preserve"> might decide to leave the fingering and the forte to take care of themselves </w:t>
      </w:r>
      <w:r w:rsidR="006337C2">
        <w:rPr>
          <w:rFonts w:ascii="Times New Roman" w:hAnsi="Times New Roman" w:cs="Times New Roman"/>
          <w:sz w:val="18"/>
          <w:szCs w:val="20"/>
        </w:rPr>
        <w:t>in order</w:t>
      </w:r>
      <w:r w:rsidR="006337C2" w:rsidRPr="00A300F4">
        <w:rPr>
          <w:rFonts w:ascii="Times New Roman" w:hAnsi="Times New Roman" w:cs="Times New Roman"/>
          <w:sz w:val="18"/>
          <w:szCs w:val="20"/>
        </w:rPr>
        <w:t xml:space="preserve"> </w:t>
      </w:r>
      <w:r w:rsidR="0050456E" w:rsidRPr="00A300F4">
        <w:rPr>
          <w:rFonts w:ascii="Times New Roman" w:hAnsi="Times New Roman" w:cs="Times New Roman"/>
          <w:sz w:val="18"/>
          <w:szCs w:val="20"/>
        </w:rPr>
        <w:t>to focus</w:t>
      </w:r>
      <w:r w:rsidR="00E778CE" w:rsidRPr="00A300F4">
        <w:rPr>
          <w:rFonts w:ascii="Times New Roman" w:hAnsi="Times New Roman" w:cs="Times New Roman"/>
          <w:sz w:val="18"/>
          <w:szCs w:val="20"/>
        </w:rPr>
        <w:t xml:space="preserve"> </w:t>
      </w:r>
      <w:r w:rsidR="00CA1E4E">
        <w:rPr>
          <w:rFonts w:ascii="Times New Roman" w:hAnsi="Times New Roman" w:cs="Times New Roman"/>
          <w:sz w:val="18"/>
          <w:szCs w:val="20"/>
        </w:rPr>
        <w:t xml:space="preserve">attention </w:t>
      </w:r>
      <w:r w:rsidR="00E778CE" w:rsidRPr="00A300F4">
        <w:rPr>
          <w:rFonts w:ascii="Times New Roman" w:hAnsi="Times New Roman" w:cs="Times New Roman"/>
          <w:sz w:val="18"/>
          <w:szCs w:val="20"/>
        </w:rPr>
        <w:t xml:space="preserve">on the climax. On a bad day, the same </w:t>
      </w:r>
      <w:r w:rsidR="0050456E" w:rsidRPr="00A300F4">
        <w:rPr>
          <w:rFonts w:ascii="Times New Roman" w:hAnsi="Times New Roman" w:cs="Times New Roman"/>
          <w:sz w:val="18"/>
          <w:szCs w:val="20"/>
        </w:rPr>
        <w:t xml:space="preserve">pianist </w:t>
      </w:r>
      <w:r w:rsidR="00E778CE" w:rsidRPr="00A300F4">
        <w:rPr>
          <w:rFonts w:ascii="Times New Roman" w:hAnsi="Times New Roman" w:cs="Times New Roman"/>
          <w:sz w:val="18"/>
          <w:szCs w:val="20"/>
        </w:rPr>
        <w:t xml:space="preserve">might fight to get the notes right and </w:t>
      </w:r>
      <w:r w:rsidR="009A3A5A" w:rsidRPr="00A300F4">
        <w:rPr>
          <w:rFonts w:ascii="Times New Roman" w:hAnsi="Times New Roman" w:cs="Times New Roman"/>
          <w:sz w:val="18"/>
          <w:szCs w:val="20"/>
        </w:rPr>
        <w:t xml:space="preserve">so decide to </w:t>
      </w:r>
      <w:r w:rsidR="00E778CE" w:rsidRPr="00A300F4">
        <w:rPr>
          <w:rFonts w:ascii="Times New Roman" w:hAnsi="Times New Roman" w:cs="Times New Roman"/>
          <w:sz w:val="18"/>
          <w:szCs w:val="20"/>
        </w:rPr>
        <w:t>let the forte and climax take care of themselves in order to focus on the fingering. One benefit of well</w:t>
      </w:r>
      <w:r w:rsidR="001E3953">
        <w:rPr>
          <w:rFonts w:ascii="Times New Roman" w:hAnsi="Times New Roman" w:cs="Times New Roman"/>
          <w:sz w:val="18"/>
          <w:szCs w:val="20"/>
        </w:rPr>
        <w:t>-</w:t>
      </w:r>
      <w:r w:rsidR="00E778CE" w:rsidRPr="00A300F4">
        <w:rPr>
          <w:rFonts w:ascii="Times New Roman" w:hAnsi="Times New Roman" w:cs="Times New Roman"/>
          <w:sz w:val="18"/>
          <w:szCs w:val="20"/>
        </w:rPr>
        <w:t>prepared PCs is that they allow the musician to give very similar performances under different conditions, including changes in their own</w:t>
      </w:r>
      <w:r w:rsidR="00E778CE" w:rsidRPr="00E778CE">
        <w:rPr>
          <w:rFonts w:ascii="Times New Roman" w:hAnsi="Times New Roman" w:cs="Times New Roman"/>
          <w:sz w:val="18"/>
          <w:szCs w:val="18"/>
        </w:rPr>
        <w:t xml:space="preserve"> mental and emotional states. </w:t>
      </w:r>
      <w:r w:rsidR="00E436DD">
        <w:rPr>
          <w:rFonts w:ascii="Times New Roman" w:hAnsi="Times New Roman" w:cs="Times New Roman"/>
          <w:sz w:val="18"/>
          <w:szCs w:val="18"/>
        </w:rPr>
        <w:t xml:space="preserve">Multiple PCs in the same place </w:t>
      </w:r>
      <w:r w:rsidR="006337C2">
        <w:rPr>
          <w:rFonts w:ascii="Times New Roman" w:hAnsi="Times New Roman" w:cs="Times New Roman"/>
          <w:sz w:val="18"/>
          <w:szCs w:val="18"/>
        </w:rPr>
        <w:t>provide the</w:t>
      </w:r>
      <w:r w:rsidR="00E436DD">
        <w:rPr>
          <w:rFonts w:ascii="Times New Roman" w:hAnsi="Times New Roman" w:cs="Times New Roman"/>
          <w:sz w:val="18"/>
          <w:szCs w:val="18"/>
        </w:rPr>
        <w:t xml:space="preserve"> </w:t>
      </w:r>
      <w:r w:rsidR="006337C2">
        <w:rPr>
          <w:rFonts w:ascii="Times New Roman" w:hAnsi="Times New Roman" w:cs="Times New Roman"/>
          <w:sz w:val="18"/>
          <w:szCs w:val="18"/>
        </w:rPr>
        <w:t xml:space="preserve">necessary </w:t>
      </w:r>
      <w:r w:rsidR="00E436DD">
        <w:rPr>
          <w:rFonts w:ascii="Times New Roman" w:hAnsi="Times New Roman" w:cs="Times New Roman"/>
          <w:sz w:val="18"/>
          <w:szCs w:val="18"/>
        </w:rPr>
        <w:t>flexibility</w:t>
      </w:r>
      <w:r w:rsidR="003E39EF">
        <w:rPr>
          <w:rFonts w:ascii="Times New Roman" w:hAnsi="Times New Roman" w:cs="Times New Roman"/>
          <w:sz w:val="18"/>
          <w:szCs w:val="18"/>
        </w:rPr>
        <w:t>.</w:t>
      </w:r>
    </w:p>
    <w:p w:rsidR="00E37EC3" w:rsidRDefault="00E37EC3" w:rsidP="00A300F4">
      <w:pPr>
        <w:jc w:val="both"/>
        <w:rPr>
          <w:rFonts w:ascii="Times New Roman" w:hAnsi="Times New Roman" w:cs="Times New Roman"/>
          <w:b/>
          <w:sz w:val="18"/>
          <w:szCs w:val="20"/>
        </w:rPr>
      </w:pPr>
    </w:p>
    <w:p w:rsidR="00BB4F33" w:rsidRDefault="00BB4F33" w:rsidP="00A300F4">
      <w:pPr>
        <w:jc w:val="both"/>
        <w:rPr>
          <w:rFonts w:ascii="Times New Roman" w:hAnsi="Times New Roman" w:cs="Times New Roman"/>
          <w:sz w:val="18"/>
          <w:szCs w:val="20"/>
        </w:rPr>
      </w:pPr>
      <w:r>
        <w:rPr>
          <w:rFonts w:ascii="Times New Roman" w:hAnsi="Times New Roman" w:cs="Times New Roman"/>
          <w:b/>
          <w:noProof/>
          <w:sz w:val="18"/>
          <w:szCs w:val="20"/>
        </w:rPr>
        <w:drawing>
          <wp:anchor distT="0" distB="0" distL="114300" distR="114300" simplePos="0" relativeHeight="251676672" behindDoc="1" locked="1" layoutInCell="0" allowOverlap="0">
            <wp:simplePos x="0" y="0"/>
            <wp:positionH relativeFrom="leftMargin">
              <wp:posOffset>974725</wp:posOffset>
            </wp:positionH>
            <wp:positionV relativeFrom="topMargin">
              <wp:posOffset>5979160</wp:posOffset>
            </wp:positionV>
            <wp:extent cx="2652395" cy="1887855"/>
            <wp:effectExtent l="19050" t="0" r="0" b="0"/>
            <wp:wrapTopAndBottom/>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652395" cy="1887855"/>
                    </a:xfrm>
                    <a:prstGeom prst="rect">
                      <a:avLst/>
                    </a:prstGeom>
                    <a:noFill/>
                  </pic:spPr>
                </pic:pic>
              </a:graphicData>
            </a:graphic>
          </wp:anchor>
        </w:drawing>
      </w:r>
      <w:r w:rsidR="007D624A">
        <w:rPr>
          <w:rFonts w:ascii="Times New Roman" w:hAnsi="Times New Roman" w:cs="Times New Roman"/>
          <w:b/>
          <w:sz w:val="18"/>
          <w:szCs w:val="20"/>
        </w:rPr>
        <w:t>Figure 4</w:t>
      </w:r>
      <w:r w:rsidR="00A300F4">
        <w:rPr>
          <w:rFonts w:ascii="Times New Roman" w:hAnsi="Times New Roman" w:cs="Times New Roman"/>
          <w:b/>
          <w:sz w:val="18"/>
          <w:szCs w:val="20"/>
        </w:rPr>
        <w:t>:</w:t>
      </w:r>
      <w:r w:rsidRPr="008F254A">
        <w:rPr>
          <w:rFonts w:ascii="Times New Roman" w:hAnsi="Times New Roman" w:cs="Times New Roman"/>
          <w:sz w:val="18"/>
          <w:szCs w:val="20"/>
        </w:rPr>
        <w:t xml:space="preserve">  Percentage of PC type(s) used in the same measure of the music.  </w:t>
      </w:r>
    </w:p>
    <w:p w:rsidR="009A3A5A" w:rsidRPr="008F254A" w:rsidRDefault="009A3A5A" w:rsidP="009A3A5A">
      <w:pPr>
        <w:spacing w:before="140" w:after="0" w:line="219" w:lineRule="exact"/>
        <w:jc w:val="both"/>
        <w:rPr>
          <w:rFonts w:ascii="Times New Roman" w:hAnsi="Times New Roman" w:cs="Times New Roman"/>
          <w:sz w:val="18"/>
          <w:szCs w:val="20"/>
        </w:rPr>
      </w:pPr>
      <w:r>
        <w:rPr>
          <w:rFonts w:ascii="Times New Roman" w:hAnsi="Times New Roman" w:cs="Times New Roman"/>
          <w:sz w:val="18"/>
          <w:szCs w:val="20"/>
        </w:rPr>
        <w:t xml:space="preserve">The professional made much greater use of multiple PCs </w:t>
      </w:r>
      <w:r w:rsidR="00CA1E4E">
        <w:rPr>
          <w:rFonts w:ascii="Times New Roman" w:hAnsi="Times New Roman" w:cs="Times New Roman"/>
          <w:sz w:val="18"/>
          <w:szCs w:val="20"/>
        </w:rPr>
        <w:t>than the students</w:t>
      </w:r>
      <w:r>
        <w:rPr>
          <w:rFonts w:ascii="Times New Roman" w:hAnsi="Times New Roman" w:cs="Times New Roman"/>
          <w:sz w:val="18"/>
          <w:szCs w:val="20"/>
        </w:rPr>
        <w:t xml:space="preserve">. </w:t>
      </w:r>
      <w:r w:rsidRPr="008F254A">
        <w:rPr>
          <w:rFonts w:ascii="Times New Roman" w:hAnsi="Times New Roman" w:cs="Times New Roman"/>
          <w:sz w:val="18"/>
          <w:szCs w:val="20"/>
        </w:rPr>
        <w:t xml:space="preserve">The student musicians tended to focus </w:t>
      </w:r>
      <w:r w:rsidR="00AE6B01">
        <w:rPr>
          <w:rFonts w:ascii="Times New Roman" w:hAnsi="Times New Roman" w:cs="Times New Roman"/>
          <w:sz w:val="18"/>
          <w:szCs w:val="20"/>
        </w:rPr>
        <w:t xml:space="preserve">on </w:t>
      </w:r>
      <w:r w:rsidRPr="008F254A">
        <w:rPr>
          <w:rFonts w:ascii="Times New Roman" w:hAnsi="Times New Roman" w:cs="Times New Roman"/>
          <w:sz w:val="18"/>
          <w:szCs w:val="20"/>
        </w:rPr>
        <w:t xml:space="preserve">only one type of PC at a time.  The MA student used one PC per location about 80% of the time, </w:t>
      </w:r>
      <w:r w:rsidR="009E5387">
        <w:rPr>
          <w:rFonts w:ascii="Times New Roman" w:hAnsi="Times New Roman" w:cs="Times New Roman"/>
          <w:sz w:val="18"/>
          <w:szCs w:val="20"/>
        </w:rPr>
        <w:t xml:space="preserve">and </w:t>
      </w:r>
      <w:r w:rsidRPr="008F254A">
        <w:rPr>
          <w:rFonts w:ascii="Times New Roman" w:hAnsi="Times New Roman" w:cs="Times New Roman"/>
          <w:sz w:val="18"/>
          <w:szCs w:val="20"/>
        </w:rPr>
        <w:t xml:space="preserve">2 or 3 concurrent PCs only 20% of the </w:t>
      </w:r>
      <w:r w:rsidRPr="0094735D">
        <w:rPr>
          <w:rFonts w:ascii="Times New Roman" w:hAnsi="Times New Roman" w:cs="Times New Roman"/>
          <w:sz w:val="18"/>
          <w:szCs w:val="18"/>
        </w:rPr>
        <w:t>time (</w:t>
      </w:r>
      <w:r w:rsidRPr="0094735D">
        <w:rPr>
          <w:rFonts w:ascii="Times New Roman" w:hAnsi="Times New Roman" w:cs="Times New Roman"/>
          <w:sz w:val="18"/>
          <w:szCs w:val="18"/>
        </w:rPr>
        <w:sym w:font="Symbol" w:char="F063"/>
      </w:r>
      <w:r w:rsidRPr="0094735D">
        <w:rPr>
          <w:rFonts w:ascii="Times New Roman" w:hAnsi="Times New Roman" w:cs="Times New Roman"/>
          <w:sz w:val="18"/>
          <w:szCs w:val="18"/>
          <w:vertAlign w:val="superscript"/>
        </w:rPr>
        <w:t>2</w:t>
      </w:r>
      <w:r w:rsidRPr="0094735D">
        <w:rPr>
          <w:rFonts w:ascii="Times New Roman" w:hAnsi="Times New Roman" w:cs="Times New Roman"/>
          <w:sz w:val="18"/>
          <w:szCs w:val="18"/>
        </w:rPr>
        <w:t xml:space="preserve">=54.3, </w:t>
      </w:r>
      <w:r w:rsidRPr="0094735D">
        <w:rPr>
          <w:rFonts w:ascii="Times New Roman" w:hAnsi="Times New Roman" w:cs="Times New Roman"/>
          <w:i/>
          <w:sz w:val="18"/>
          <w:szCs w:val="18"/>
        </w:rPr>
        <w:t>df</w:t>
      </w:r>
      <w:r w:rsidRPr="0094735D">
        <w:rPr>
          <w:rFonts w:ascii="Times New Roman" w:hAnsi="Times New Roman" w:cs="Times New Roman"/>
          <w:sz w:val="18"/>
          <w:szCs w:val="18"/>
        </w:rPr>
        <w:t xml:space="preserve">=2, </w:t>
      </w:r>
      <w:r w:rsidRPr="0094735D">
        <w:rPr>
          <w:rFonts w:ascii="Times New Roman" w:hAnsi="Times New Roman" w:cs="Times New Roman"/>
          <w:i/>
          <w:sz w:val="18"/>
          <w:szCs w:val="18"/>
        </w:rPr>
        <w:t>p</w:t>
      </w:r>
      <w:r w:rsidRPr="0094735D">
        <w:rPr>
          <w:rFonts w:ascii="Times New Roman" w:hAnsi="Times New Roman" w:cs="Times New Roman"/>
          <w:sz w:val="18"/>
          <w:szCs w:val="18"/>
        </w:rPr>
        <w:t>&lt;.001).</w:t>
      </w:r>
      <w:r w:rsidRPr="008F254A">
        <w:rPr>
          <w:rFonts w:ascii="Times New Roman" w:hAnsi="Times New Roman" w:cs="Times New Roman"/>
          <w:sz w:val="18"/>
          <w:szCs w:val="20"/>
        </w:rPr>
        <w:t xml:space="preserve"> The BA student used only one PC per location about 65% of the time, </w:t>
      </w:r>
      <w:r w:rsidR="009E5387">
        <w:rPr>
          <w:rFonts w:ascii="Times New Roman" w:hAnsi="Times New Roman" w:cs="Times New Roman"/>
          <w:sz w:val="18"/>
          <w:szCs w:val="20"/>
        </w:rPr>
        <w:t>and</w:t>
      </w:r>
      <w:r w:rsidRPr="008F254A">
        <w:rPr>
          <w:rFonts w:ascii="Times New Roman" w:hAnsi="Times New Roman" w:cs="Times New Roman"/>
          <w:sz w:val="18"/>
          <w:szCs w:val="20"/>
        </w:rPr>
        <w:t xml:space="preserve"> 2 or 3 concurrent PCs 35% of the time (</w:t>
      </w:r>
      <w:r w:rsidRPr="008F254A">
        <w:rPr>
          <w:rFonts w:ascii="Times New Roman" w:hAnsi="Times New Roman" w:cs="Times New Roman"/>
          <w:sz w:val="18"/>
          <w:szCs w:val="20"/>
        </w:rPr>
        <w:sym w:font="Symbol" w:char="F063"/>
      </w:r>
      <w:r w:rsidRPr="008F254A">
        <w:rPr>
          <w:rFonts w:ascii="Times New Roman" w:hAnsi="Times New Roman" w:cs="Times New Roman"/>
          <w:sz w:val="18"/>
          <w:szCs w:val="20"/>
          <w:vertAlign w:val="superscript"/>
        </w:rPr>
        <w:t>2</w:t>
      </w:r>
      <w:r w:rsidRPr="008F254A">
        <w:rPr>
          <w:rFonts w:ascii="Times New Roman" w:hAnsi="Times New Roman" w:cs="Times New Roman"/>
          <w:sz w:val="18"/>
          <w:szCs w:val="20"/>
        </w:rPr>
        <w:t xml:space="preserve">=65.1, </w:t>
      </w:r>
      <w:r w:rsidRPr="008F254A">
        <w:rPr>
          <w:rFonts w:ascii="Times New Roman" w:hAnsi="Times New Roman" w:cs="Times New Roman"/>
          <w:i/>
          <w:sz w:val="18"/>
          <w:szCs w:val="20"/>
        </w:rPr>
        <w:t>df</w:t>
      </w:r>
      <w:r w:rsidRPr="008F254A">
        <w:rPr>
          <w:rFonts w:ascii="Times New Roman" w:hAnsi="Times New Roman" w:cs="Times New Roman"/>
          <w:sz w:val="18"/>
          <w:szCs w:val="20"/>
        </w:rPr>
        <w:t xml:space="preserve">=2, </w:t>
      </w:r>
      <w:r w:rsidRPr="008F254A">
        <w:rPr>
          <w:rFonts w:ascii="Times New Roman" w:hAnsi="Times New Roman" w:cs="Times New Roman"/>
          <w:i/>
          <w:sz w:val="18"/>
          <w:szCs w:val="20"/>
        </w:rPr>
        <w:t>p</w:t>
      </w:r>
      <w:r w:rsidRPr="008F254A">
        <w:rPr>
          <w:rFonts w:ascii="Times New Roman" w:hAnsi="Times New Roman" w:cs="Times New Roman"/>
          <w:sz w:val="18"/>
          <w:szCs w:val="20"/>
        </w:rPr>
        <w:t xml:space="preserve">&lt;.001). The professional, in contrast, used 2 and 3 different types of PC at the same </w:t>
      </w:r>
      <w:r w:rsidRPr="008F254A">
        <w:rPr>
          <w:rFonts w:ascii="Times New Roman" w:hAnsi="Times New Roman" w:cs="Times New Roman"/>
          <w:sz w:val="18"/>
          <w:szCs w:val="20"/>
        </w:rPr>
        <w:lastRenderedPageBreak/>
        <w:t xml:space="preserve">location just as often as she used only </w:t>
      </w:r>
      <w:r w:rsidR="009E5387">
        <w:rPr>
          <w:rFonts w:ascii="Times New Roman" w:hAnsi="Times New Roman" w:cs="Times New Roman"/>
          <w:sz w:val="18"/>
          <w:szCs w:val="20"/>
        </w:rPr>
        <w:t xml:space="preserve">one </w:t>
      </w:r>
      <w:r w:rsidRPr="008F254A">
        <w:rPr>
          <w:rFonts w:ascii="Times New Roman" w:hAnsi="Times New Roman" w:cs="Times New Roman"/>
          <w:sz w:val="18"/>
          <w:szCs w:val="20"/>
        </w:rPr>
        <w:t>kind of PC (</w:t>
      </w:r>
      <w:r w:rsidRPr="008F254A">
        <w:rPr>
          <w:rFonts w:ascii="Times New Roman" w:hAnsi="Times New Roman" w:cs="Times New Roman"/>
          <w:sz w:val="18"/>
          <w:szCs w:val="20"/>
        </w:rPr>
        <w:sym w:font="Symbol" w:char="F063"/>
      </w:r>
      <w:r w:rsidRPr="008F254A">
        <w:rPr>
          <w:rFonts w:ascii="Times New Roman" w:hAnsi="Times New Roman" w:cs="Times New Roman"/>
          <w:sz w:val="18"/>
          <w:szCs w:val="20"/>
          <w:vertAlign w:val="superscript"/>
        </w:rPr>
        <w:t>2</w:t>
      </w:r>
      <w:r w:rsidRPr="008F254A">
        <w:rPr>
          <w:rFonts w:ascii="Times New Roman" w:hAnsi="Times New Roman" w:cs="Times New Roman"/>
          <w:sz w:val="18"/>
          <w:szCs w:val="20"/>
        </w:rPr>
        <w:t xml:space="preserve">=.60, </w:t>
      </w:r>
      <w:r w:rsidRPr="008F254A">
        <w:rPr>
          <w:rFonts w:ascii="Times New Roman" w:hAnsi="Times New Roman" w:cs="Times New Roman"/>
          <w:i/>
          <w:sz w:val="18"/>
          <w:szCs w:val="20"/>
        </w:rPr>
        <w:t>df</w:t>
      </w:r>
      <w:r w:rsidRPr="008F254A">
        <w:rPr>
          <w:rFonts w:ascii="Times New Roman" w:hAnsi="Times New Roman" w:cs="Times New Roman"/>
          <w:sz w:val="18"/>
          <w:szCs w:val="20"/>
        </w:rPr>
        <w:t xml:space="preserve">=2, </w:t>
      </w:r>
      <w:r w:rsidRPr="008F254A">
        <w:rPr>
          <w:rFonts w:ascii="Times New Roman" w:hAnsi="Times New Roman" w:cs="Times New Roman"/>
          <w:i/>
          <w:sz w:val="18"/>
          <w:szCs w:val="20"/>
        </w:rPr>
        <w:t>p</w:t>
      </w:r>
      <w:r w:rsidRPr="008F254A">
        <w:rPr>
          <w:rFonts w:ascii="Times New Roman" w:hAnsi="Times New Roman" w:cs="Times New Roman"/>
          <w:sz w:val="18"/>
          <w:szCs w:val="20"/>
        </w:rPr>
        <w:t>=.</w:t>
      </w:r>
      <w:r w:rsidRPr="0094735D">
        <w:rPr>
          <w:rFonts w:ascii="Times New Roman" w:hAnsi="Times New Roman" w:cs="Times New Roman"/>
          <w:sz w:val="18"/>
          <w:szCs w:val="20"/>
        </w:rPr>
        <w:t xml:space="preserve">74). </w:t>
      </w:r>
      <w:r w:rsidRPr="008F254A">
        <w:rPr>
          <w:rFonts w:ascii="Times New Roman" w:hAnsi="Times New Roman" w:cs="Times New Roman"/>
          <w:sz w:val="18"/>
          <w:szCs w:val="20"/>
        </w:rPr>
        <w:t xml:space="preserve"> </w:t>
      </w:r>
    </w:p>
    <w:p w:rsidR="008F254A" w:rsidRPr="008F254A" w:rsidRDefault="008F254A" w:rsidP="00AE3F43">
      <w:pPr>
        <w:spacing w:before="140" w:after="0" w:line="219" w:lineRule="exact"/>
        <w:jc w:val="both"/>
        <w:rPr>
          <w:rFonts w:ascii="Times New Roman" w:hAnsi="Times New Roman" w:cs="Times New Roman"/>
          <w:sz w:val="18"/>
          <w:szCs w:val="20"/>
        </w:rPr>
      </w:pPr>
      <w:r w:rsidRPr="008F254A">
        <w:rPr>
          <w:rFonts w:ascii="Times New Roman" w:hAnsi="Times New Roman" w:cs="Times New Roman"/>
          <w:sz w:val="18"/>
          <w:szCs w:val="20"/>
        </w:rPr>
        <w:t xml:space="preserve">The difference between the students and </w:t>
      </w:r>
      <w:r w:rsidR="003E4DB4">
        <w:rPr>
          <w:rFonts w:ascii="Times New Roman" w:hAnsi="Times New Roman" w:cs="Times New Roman"/>
          <w:sz w:val="18"/>
          <w:szCs w:val="20"/>
        </w:rPr>
        <w:t xml:space="preserve">the </w:t>
      </w:r>
      <w:r w:rsidRPr="008F254A">
        <w:rPr>
          <w:rFonts w:ascii="Times New Roman" w:hAnsi="Times New Roman" w:cs="Times New Roman"/>
          <w:sz w:val="18"/>
          <w:szCs w:val="20"/>
        </w:rPr>
        <w:t>professional suggests</w:t>
      </w:r>
      <w:r w:rsidR="001309C0">
        <w:rPr>
          <w:rFonts w:ascii="Times New Roman" w:hAnsi="Times New Roman" w:cs="Times New Roman"/>
          <w:sz w:val="18"/>
          <w:szCs w:val="20"/>
        </w:rPr>
        <w:t xml:space="preserve"> that</w:t>
      </w:r>
      <w:r w:rsidRPr="008F254A">
        <w:rPr>
          <w:rFonts w:ascii="Times New Roman" w:hAnsi="Times New Roman" w:cs="Times New Roman"/>
          <w:sz w:val="18"/>
          <w:szCs w:val="20"/>
        </w:rPr>
        <w:t xml:space="preserve"> </w:t>
      </w:r>
      <w:r w:rsidR="009A3A5A">
        <w:rPr>
          <w:rFonts w:ascii="Times New Roman" w:hAnsi="Times New Roman" w:cs="Times New Roman"/>
          <w:sz w:val="18"/>
          <w:szCs w:val="20"/>
        </w:rPr>
        <w:t xml:space="preserve">the use of multiple PCs in the same location </w:t>
      </w:r>
      <w:r w:rsidR="00D02710">
        <w:rPr>
          <w:rFonts w:ascii="Times New Roman" w:hAnsi="Times New Roman" w:cs="Times New Roman"/>
          <w:sz w:val="18"/>
          <w:szCs w:val="20"/>
        </w:rPr>
        <w:t>is characteristic</w:t>
      </w:r>
      <w:r w:rsidR="009A3A5A">
        <w:rPr>
          <w:rFonts w:ascii="Times New Roman" w:hAnsi="Times New Roman" w:cs="Times New Roman"/>
          <w:sz w:val="18"/>
          <w:szCs w:val="20"/>
        </w:rPr>
        <w:t xml:space="preserve"> of expert</w:t>
      </w:r>
      <w:r w:rsidR="006337C2">
        <w:rPr>
          <w:rFonts w:ascii="Times New Roman" w:hAnsi="Times New Roman" w:cs="Times New Roman"/>
          <w:sz w:val="18"/>
          <w:szCs w:val="20"/>
        </w:rPr>
        <w:t>s</w:t>
      </w:r>
      <w:r w:rsidRPr="008F254A">
        <w:rPr>
          <w:rFonts w:ascii="Times New Roman" w:hAnsi="Times New Roman" w:cs="Times New Roman"/>
          <w:sz w:val="18"/>
          <w:szCs w:val="20"/>
        </w:rPr>
        <w:t xml:space="preserve">.  Experts </w:t>
      </w:r>
      <w:r w:rsidR="003E4DB4">
        <w:rPr>
          <w:rFonts w:ascii="Times New Roman" w:hAnsi="Times New Roman" w:cs="Times New Roman"/>
          <w:sz w:val="18"/>
          <w:szCs w:val="20"/>
        </w:rPr>
        <w:t xml:space="preserve">create </w:t>
      </w:r>
      <w:r w:rsidR="001309C0">
        <w:rPr>
          <w:rFonts w:ascii="Times New Roman" w:hAnsi="Times New Roman" w:cs="Times New Roman"/>
          <w:sz w:val="18"/>
          <w:szCs w:val="20"/>
        </w:rPr>
        <w:t xml:space="preserve">flexibility </w:t>
      </w:r>
      <w:r w:rsidR="003E4DB4">
        <w:rPr>
          <w:rFonts w:ascii="Times New Roman" w:hAnsi="Times New Roman" w:cs="Times New Roman"/>
          <w:sz w:val="18"/>
          <w:szCs w:val="20"/>
        </w:rPr>
        <w:t xml:space="preserve">in their performances by creating </w:t>
      </w:r>
      <w:r w:rsidRPr="008F254A">
        <w:rPr>
          <w:rFonts w:ascii="Times New Roman" w:hAnsi="Times New Roman" w:cs="Times New Roman"/>
          <w:sz w:val="18"/>
          <w:szCs w:val="20"/>
        </w:rPr>
        <w:t>multiple PC</w:t>
      </w:r>
      <w:r w:rsidR="001309C0">
        <w:rPr>
          <w:rFonts w:ascii="Times New Roman" w:hAnsi="Times New Roman" w:cs="Times New Roman"/>
          <w:sz w:val="18"/>
          <w:szCs w:val="20"/>
        </w:rPr>
        <w:t>s</w:t>
      </w:r>
      <w:r w:rsidR="003E4DB4">
        <w:rPr>
          <w:rFonts w:ascii="Times New Roman" w:hAnsi="Times New Roman" w:cs="Times New Roman"/>
          <w:sz w:val="18"/>
          <w:szCs w:val="20"/>
        </w:rPr>
        <w:t>,</w:t>
      </w:r>
      <w:r w:rsidRPr="008F254A">
        <w:rPr>
          <w:rFonts w:ascii="Times New Roman" w:hAnsi="Times New Roman" w:cs="Times New Roman"/>
          <w:sz w:val="18"/>
          <w:szCs w:val="20"/>
        </w:rPr>
        <w:t xml:space="preserve"> while students rely </w:t>
      </w:r>
      <w:r w:rsidR="001309C0">
        <w:rPr>
          <w:rFonts w:ascii="Times New Roman" w:hAnsi="Times New Roman" w:cs="Times New Roman"/>
          <w:sz w:val="18"/>
          <w:szCs w:val="20"/>
        </w:rPr>
        <w:t xml:space="preserve">more often </w:t>
      </w:r>
      <w:r w:rsidRPr="008F254A">
        <w:rPr>
          <w:rFonts w:ascii="Times New Roman" w:hAnsi="Times New Roman" w:cs="Times New Roman"/>
          <w:sz w:val="18"/>
          <w:szCs w:val="20"/>
        </w:rPr>
        <w:t xml:space="preserve">on </w:t>
      </w:r>
      <w:r w:rsidR="001309C0">
        <w:rPr>
          <w:rFonts w:ascii="Times New Roman" w:hAnsi="Times New Roman" w:cs="Times New Roman"/>
          <w:sz w:val="18"/>
          <w:szCs w:val="20"/>
        </w:rPr>
        <w:t xml:space="preserve">a single </w:t>
      </w:r>
      <w:r w:rsidRPr="008F254A">
        <w:rPr>
          <w:rFonts w:ascii="Times New Roman" w:hAnsi="Times New Roman" w:cs="Times New Roman"/>
          <w:sz w:val="18"/>
          <w:szCs w:val="20"/>
        </w:rPr>
        <w:t xml:space="preserve">PC. PCs provide the musician with </w:t>
      </w:r>
      <w:r w:rsidR="009E5387">
        <w:rPr>
          <w:rFonts w:ascii="Times New Roman" w:hAnsi="Times New Roman" w:cs="Times New Roman"/>
          <w:sz w:val="18"/>
          <w:szCs w:val="20"/>
        </w:rPr>
        <w:t xml:space="preserve">the ability to </w:t>
      </w:r>
      <w:r w:rsidRPr="008F254A">
        <w:rPr>
          <w:rFonts w:ascii="Times New Roman" w:hAnsi="Times New Roman" w:cs="Times New Roman"/>
          <w:sz w:val="18"/>
          <w:szCs w:val="20"/>
        </w:rPr>
        <w:t>control the otherwise automatic motor sequences of their performance</w:t>
      </w:r>
      <w:r w:rsidR="009E5387">
        <w:rPr>
          <w:rFonts w:ascii="Times New Roman" w:hAnsi="Times New Roman" w:cs="Times New Roman"/>
          <w:sz w:val="18"/>
          <w:szCs w:val="20"/>
        </w:rPr>
        <w:t xml:space="preserve">. </w:t>
      </w:r>
      <w:r w:rsidR="006337C2">
        <w:rPr>
          <w:rFonts w:ascii="Times New Roman" w:hAnsi="Times New Roman" w:cs="Times New Roman"/>
          <w:sz w:val="18"/>
          <w:szCs w:val="20"/>
        </w:rPr>
        <w:t>M</w:t>
      </w:r>
      <w:r w:rsidRPr="008F254A">
        <w:rPr>
          <w:rFonts w:ascii="Times New Roman" w:hAnsi="Times New Roman" w:cs="Times New Roman"/>
          <w:sz w:val="18"/>
          <w:szCs w:val="20"/>
        </w:rPr>
        <w:t>ultiple</w:t>
      </w:r>
      <w:r w:rsidR="009E5387">
        <w:rPr>
          <w:rFonts w:ascii="Times New Roman" w:hAnsi="Times New Roman" w:cs="Times New Roman"/>
          <w:sz w:val="18"/>
          <w:szCs w:val="20"/>
        </w:rPr>
        <w:t xml:space="preserve"> PCs provide additional flexibility by allowing the performer to focus on different aspects of the music as the need or opportunity arises</w:t>
      </w:r>
      <w:r w:rsidRPr="008F254A">
        <w:rPr>
          <w:rFonts w:ascii="Times New Roman" w:hAnsi="Times New Roman" w:cs="Times New Roman"/>
          <w:sz w:val="18"/>
          <w:szCs w:val="20"/>
        </w:rPr>
        <w:t xml:space="preserve">. </w:t>
      </w:r>
    </w:p>
    <w:p w:rsidR="008F254A" w:rsidRPr="008F254A" w:rsidRDefault="008F254A" w:rsidP="008F254A">
      <w:pPr>
        <w:pStyle w:val="ICOMCSHead1"/>
        <w:tabs>
          <w:tab w:val="num" w:pos="454"/>
        </w:tabs>
        <w:ind w:left="461" w:hanging="461"/>
        <w:rPr>
          <w:rFonts w:cs="Times New Roman"/>
        </w:rPr>
      </w:pPr>
      <w:r w:rsidRPr="008F254A">
        <w:rPr>
          <w:rFonts w:cs="Times New Roman"/>
        </w:rPr>
        <w:t xml:space="preserve">the pc-survey: extending </w:t>
      </w:r>
      <w:r w:rsidR="00AE6B01">
        <w:rPr>
          <w:rFonts w:cs="Times New Roman"/>
        </w:rPr>
        <w:t xml:space="preserve">the </w:t>
      </w:r>
      <w:r w:rsidRPr="008F254A">
        <w:rPr>
          <w:rFonts w:cs="Times New Roman"/>
        </w:rPr>
        <w:t xml:space="preserve">COMPARIsons </w:t>
      </w:r>
    </w:p>
    <w:p w:rsidR="008F254A" w:rsidRPr="008F254A" w:rsidRDefault="008F254A" w:rsidP="008F254A">
      <w:pPr>
        <w:spacing w:before="140" w:after="0" w:line="219" w:lineRule="exact"/>
        <w:jc w:val="both"/>
        <w:rPr>
          <w:rFonts w:ascii="Times New Roman" w:hAnsi="Times New Roman" w:cs="Times New Roman"/>
          <w:sz w:val="18"/>
          <w:szCs w:val="20"/>
        </w:rPr>
      </w:pPr>
      <w:r w:rsidRPr="008F254A">
        <w:rPr>
          <w:rFonts w:ascii="Times New Roman" w:hAnsi="Times New Roman" w:cs="Times New Roman"/>
          <w:sz w:val="18"/>
          <w:szCs w:val="20"/>
        </w:rPr>
        <w:t xml:space="preserve">The comparisons we have made suggest that much may be learned by comparing PC reports. </w:t>
      </w:r>
      <w:r w:rsidR="001E3953">
        <w:rPr>
          <w:rFonts w:ascii="Times New Roman" w:hAnsi="Times New Roman" w:cs="Times New Roman"/>
          <w:sz w:val="18"/>
          <w:szCs w:val="20"/>
        </w:rPr>
        <w:t xml:space="preserve"> </w:t>
      </w:r>
      <w:r w:rsidRPr="008F254A">
        <w:rPr>
          <w:rFonts w:ascii="Times New Roman" w:hAnsi="Times New Roman" w:cs="Times New Roman"/>
          <w:sz w:val="18"/>
          <w:szCs w:val="20"/>
        </w:rPr>
        <w:t>Reports from many more musicians are needed to answer the questions we began with</w:t>
      </w:r>
      <w:r w:rsidR="00D02710" w:rsidRPr="008F254A">
        <w:rPr>
          <w:rFonts w:ascii="Times New Roman" w:hAnsi="Times New Roman" w:cs="Times New Roman"/>
          <w:sz w:val="18"/>
          <w:szCs w:val="20"/>
        </w:rPr>
        <w:t xml:space="preserve">.  </w:t>
      </w:r>
      <w:r w:rsidRPr="008F254A">
        <w:rPr>
          <w:rFonts w:ascii="Times New Roman" w:hAnsi="Times New Roman" w:cs="Times New Roman"/>
          <w:sz w:val="18"/>
          <w:szCs w:val="20"/>
        </w:rPr>
        <w:t>How</w:t>
      </w:r>
      <w:r w:rsidR="009A3A5A">
        <w:rPr>
          <w:rFonts w:ascii="Times New Roman" w:hAnsi="Times New Roman" w:cs="Times New Roman"/>
          <w:sz w:val="18"/>
          <w:szCs w:val="20"/>
        </w:rPr>
        <w:t xml:space="preserve"> </w:t>
      </w:r>
      <w:r w:rsidRPr="008F254A">
        <w:rPr>
          <w:rFonts w:ascii="Times New Roman" w:hAnsi="Times New Roman" w:cs="Times New Roman"/>
          <w:sz w:val="18"/>
          <w:szCs w:val="20"/>
        </w:rPr>
        <w:t>is the number and type of PCs affected by experience, instrument, musical style, and type of performance</w:t>
      </w:r>
      <w:r w:rsidR="00FD65F8">
        <w:rPr>
          <w:rFonts w:ascii="Times New Roman" w:hAnsi="Times New Roman" w:cs="Times New Roman"/>
          <w:sz w:val="18"/>
          <w:szCs w:val="20"/>
        </w:rPr>
        <w:t>?</w:t>
      </w:r>
      <w:r w:rsidRPr="008F254A">
        <w:rPr>
          <w:rFonts w:ascii="Times New Roman" w:hAnsi="Times New Roman" w:cs="Times New Roman"/>
          <w:sz w:val="18"/>
          <w:szCs w:val="20"/>
        </w:rPr>
        <w:t xml:space="preserve"> We are currently conducting a survey in which we ask musicians to report PCs for two pieces (one eas</w:t>
      </w:r>
      <w:r w:rsidR="006337C2">
        <w:rPr>
          <w:rFonts w:ascii="Times New Roman" w:hAnsi="Times New Roman" w:cs="Times New Roman"/>
          <w:sz w:val="18"/>
          <w:szCs w:val="20"/>
        </w:rPr>
        <w:t>ier</w:t>
      </w:r>
      <w:r w:rsidRPr="008F254A">
        <w:rPr>
          <w:rFonts w:ascii="Times New Roman" w:hAnsi="Times New Roman" w:cs="Times New Roman"/>
          <w:sz w:val="18"/>
          <w:szCs w:val="20"/>
        </w:rPr>
        <w:t xml:space="preserve">, one harder to prepare) that they have already prepared or are in the process of preparing for performance. Although we call it a “survey”, each musician’s contribution is a </w:t>
      </w:r>
      <w:r w:rsidR="003E4DB4" w:rsidRPr="008F254A">
        <w:rPr>
          <w:rFonts w:ascii="Times New Roman" w:hAnsi="Times New Roman" w:cs="Times New Roman"/>
          <w:sz w:val="18"/>
          <w:szCs w:val="20"/>
        </w:rPr>
        <w:t>much-abbreviated</w:t>
      </w:r>
      <w:r w:rsidRPr="008F254A">
        <w:rPr>
          <w:rFonts w:ascii="Times New Roman" w:hAnsi="Times New Roman" w:cs="Times New Roman"/>
          <w:sz w:val="18"/>
          <w:szCs w:val="20"/>
        </w:rPr>
        <w:t xml:space="preserve"> v</w:t>
      </w:r>
      <w:r w:rsidR="00987A83">
        <w:rPr>
          <w:rFonts w:ascii="Times New Roman" w:hAnsi="Times New Roman" w:cs="Times New Roman"/>
          <w:sz w:val="18"/>
          <w:szCs w:val="20"/>
        </w:rPr>
        <w:t xml:space="preserve">ersion of the longitudinal case </w:t>
      </w:r>
      <w:r w:rsidRPr="008F254A">
        <w:rPr>
          <w:rFonts w:ascii="Times New Roman" w:hAnsi="Times New Roman" w:cs="Times New Roman"/>
          <w:sz w:val="18"/>
          <w:szCs w:val="20"/>
        </w:rPr>
        <w:t xml:space="preserve">studies that we have used previously to establish that some musicians do use PCs. </w:t>
      </w:r>
      <w:r w:rsidR="001E3953">
        <w:rPr>
          <w:rFonts w:ascii="Times New Roman" w:hAnsi="Times New Roman" w:cs="Times New Roman"/>
          <w:sz w:val="18"/>
          <w:szCs w:val="20"/>
        </w:rPr>
        <w:t xml:space="preserve"> </w:t>
      </w:r>
      <w:r w:rsidRPr="008F254A">
        <w:rPr>
          <w:rFonts w:ascii="Times New Roman" w:hAnsi="Times New Roman" w:cs="Times New Roman"/>
          <w:sz w:val="18"/>
          <w:szCs w:val="20"/>
        </w:rPr>
        <w:t xml:space="preserve">The main difference is that in the PC-survey the time consuming and demanding step of recording and transcribing practice is omitted. </w:t>
      </w:r>
      <w:r w:rsidR="001E3953">
        <w:rPr>
          <w:rFonts w:ascii="Times New Roman" w:hAnsi="Times New Roman" w:cs="Times New Roman"/>
          <w:sz w:val="18"/>
          <w:szCs w:val="20"/>
        </w:rPr>
        <w:t xml:space="preserve"> </w:t>
      </w:r>
      <w:r w:rsidRPr="008F254A">
        <w:rPr>
          <w:rFonts w:ascii="Times New Roman" w:hAnsi="Times New Roman" w:cs="Times New Roman"/>
          <w:sz w:val="18"/>
          <w:szCs w:val="20"/>
        </w:rPr>
        <w:t>The change allows PC-reports to be collected in a period of days or weeks rather than months or years.</w:t>
      </w:r>
    </w:p>
    <w:p w:rsidR="008F254A" w:rsidRPr="008F254A" w:rsidRDefault="008F254A" w:rsidP="001E312B">
      <w:pPr>
        <w:spacing w:before="140" w:after="0" w:line="219" w:lineRule="exact"/>
        <w:jc w:val="both"/>
        <w:rPr>
          <w:rFonts w:ascii="Times New Roman" w:hAnsi="Times New Roman" w:cs="Times New Roman"/>
          <w:sz w:val="18"/>
          <w:szCs w:val="20"/>
        </w:rPr>
      </w:pPr>
      <w:r w:rsidRPr="008F254A">
        <w:rPr>
          <w:rFonts w:ascii="Times New Roman" w:hAnsi="Times New Roman" w:cs="Times New Roman"/>
          <w:sz w:val="18"/>
          <w:szCs w:val="20"/>
        </w:rPr>
        <w:t>We invite colleagues w</w:t>
      </w:r>
      <w:r w:rsidR="009E5387">
        <w:rPr>
          <w:rFonts w:ascii="Times New Roman" w:hAnsi="Times New Roman" w:cs="Times New Roman"/>
          <w:sz w:val="18"/>
          <w:szCs w:val="20"/>
        </w:rPr>
        <w:t>ho</w:t>
      </w:r>
      <w:r w:rsidRPr="008F254A">
        <w:rPr>
          <w:rFonts w:ascii="Times New Roman" w:hAnsi="Times New Roman" w:cs="Times New Roman"/>
          <w:sz w:val="18"/>
          <w:szCs w:val="20"/>
        </w:rPr>
        <w:t xml:space="preserve"> are interested in contributing to the survey to contact us</w:t>
      </w:r>
      <w:r w:rsidR="009E5387">
        <w:rPr>
          <w:rFonts w:ascii="Times New Roman" w:hAnsi="Times New Roman" w:cs="Times New Roman"/>
          <w:sz w:val="18"/>
          <w:szCs w:val="20"/>
        </w:rPr>
        <w:t>. M</w:t>
      </w:r>
      <w:r w:rsidRPr="008F254A">
        <w:rPr>
          <w:rFonts w:ascii="Times New Roman" w:hAnsi="Times New Roman" w:cs="Times New Roman"/>
          <w:sz w:val="18"/>
          <w:szCs w:val="20"/>
        </w:rPr>
        <w:t>ore information about</w:t>
      </w:r>
      <w:r w:rsidR="001E312B">
        <w:rPr>
          <w:rFonts w:ascii="Times New Roman" w:hAnsi="Times New Roman" w:cs="Times New Roman"/>
          <w:sz w:val="18"/>
          <w:szCs w:val="20"/>
        </w:rPr>
        <w:t xml:space="preserve"> our studies of PC</w:t>
      </w:r>
      <w:r w:rsidR="001309C0">
        <w:rPr>
          <w:rFonts w:ascii="Times New Roman" w:hAnsi="Times New Roman" w:cs="Times New Roman"/>
          <w:sz w:val="18"/>
          <w:szCs w:val="20"/>
        </w:rPr>
        <w:t>s</w:t>
      </w:r>
      <w:r w:rsidR="001E312B">
        <w:rPr>
          <w:rFonts w:ascii="Times New Roman" w:hAnsi="Times New Roman" w:cs="Times New Roman"/>
          <w:sz w:val="18"/>
          <w:szCs w:val="20"/>
        </w:rPr>
        <w:t xml:space="preserve"> </w:t>
      </w:r>
      <w:r w:rsidR="009E5387">
        <w:rPr>
          <w:rFonts w:ascii="Times New Roman" w:hAnsi="Times New Roman" w:cs="Times New Roman"/>
          <w:sz w:val="18"/>
          <w:szCs w:val="20"/>
        </w:rPr>
        <w:t>is available on our website:</w:t>
      </w:r>
      <w:r w:rsidR="003E4DB4">
        <w:rPr>
          <w:rFonts w:ascii="Times New Roman" w:hAnsi="Times New Roman" w:cs="Times New Roman"/>
          <w:sz w:val="18"/>
          <w:szCs w:val="20"/>
        </w:rPr>
        <w:t xml:space="preserve"> </w:t>
      </w:r>
      <w:r w:rsidRPr="008F254A">
        <w:rPr>
          <w:rFonts w:ascii="Times New Roman" w:hAnsi="Times New Roman" w:cs="Times New Roman"/>
          <w:sz w:val="18"/>
          <w:szCs w:val="20"/>
        </w:rPr>
        <w:t>http://www.htfdcc.u</w:t>
      </w:r>
      <w:r w:rsidR="001E312B">
        <w:rPr>
          <w:rFonts w:ascii="Times New Roman" w:hAnsi="Times New Roman" w:cs="Times New Roman"/>
          <w:sz w:val="18"/>
          <w:szCs w:val="20"/>
        </w:rPr>
        <w:t>conn.edu/psyclabs/musiclab.html</w:t>
      </w:r>
      <w:r w:rsidRPr="008F254A">
        <w:rPr>
          <w:rFonts w:ascii="Times New Roman" w:hAnsi="Times New Roman" w:cs="Times New Roman"/>
          <w:sz w:val="18"/>
          <w:szCs w:val="20"/>
        </w:rPr>
        <w:t xml:space="preserve">.  </w:t>
      </w:r>
    </w:p>
    <w:p w:rsidR="008F254A" w:rsidRPr="008F254A" w:rsidRDefault="008F254A" w:rsidP="008F254A">
      <w:pPr>
        <w:pStyle w:val="ICOMCSHead1"/>
        <w:tabs>
          <w:tab w:val="num" w:pos="454"/>
        </w:tabs>
        <w:ind w:left="461" w:hanging="461"/>
        <w:rPr>
          <w:rFonts w:cs="Times New Roman"/>
          <w:szCs w:val="20"/>
        </w:rPr>
      </w:pPr>
      <w:r w:rsidRPr="008F254A">
        <w:rPr>
          <w:rFonts w:cs="Times New Roman"/>
          <w:szCs w:val="20"/>
        </w:rPr>
        <w:t>symp (study your music practice/performance)</w:t>
      </w:r>
    </w:p>
    <w:p w:rsidR="008F254A" w:rsidRPr="008F254A" w:rsidRDefault="003E4DB4" w:rsidP="008F254A">
      <w:pPr>
        <w:pStyle w:val="Body"/>
        <w:spacing w:line="219" w:lineRule="exact"/>
        <w:rPr>
          <w:rFonts w:cs="Times New Roman"/>
          <w:szCs w:val="20"/>
        </w:rPr>
      </w:pPr>
      <w:r w:rsidRPr="008F254A">
        <w:rPr>
          <w:rFonts w:cs="Times New Roman"/>
          <w:szCs w:val="20"/>
        </w:rPr>
        <w:t xml:space="preserve">Also available for download on </w:t>
      </w:r>
      <w:r w:rsidR="00AE6B01">
        <w:rPr>
          <w:rFonts w:cs="Times New Roman"/>
          <w:szCs w:val="20"/>
        </w:rPr>
        <w:t>our</w:t>
      </w:r>
      <w:r w:rsidRPr="008F254A">
        <w:rPr>
          <w:rFonts w:cs="Times New Roman"/>
          <w:szCs w:val="20"/>
        </w:rPr>
        <w:t xml:space="preserve"> website are the software tools </w:t>
      </w:r>
      <w:r w:rsidR="006337C2">
        <w:rPr>
          <w:rFonts w:cs="Times New Roman"/>
          <w:szCs w:val="20"/>
        </w:rPr>
        <w:t>used in</w:t>
      </w:r>
      <w:r w:rsidR="008F254A" w:rsidRPr="008F254A">
        <w:rPr>
          <w:rFonts w:cs="Times New Roman"/>
          <w:szCs w:val="20"/>
        </w:rPr>
        <w:t xml:space="preserve"> our longitudinal case studies of how PCs develop. SYMP (Study Your Music Practice) makes these software tools available to musicians and researchers who want to engage in this </w:t>
      </w:r>
      <w:r w:rsidR="00987A83">
        <w:rPr>
          <w:rFonts w:cs="Times New Roman"/>
          <w:szCs w:val="20"/>
        </w:rPr>
        <w:t xml:space="preserve">kind of </w:t>
      </w:r>
      <w:r w:rsidR="008F254A" w:rsidRPr="008F254A">
        <w:rPr>
          <w:rFonts w:cs="Times New Roman"/>
          <w:szCs w:val="20"/>
        </w:rPr>
        <w:t xml:space="preserve">inquiry themselves. </w:t>
      </w:r>
      <w:r w:rsidR="001309C0">
        <w:rPr>
          <w:rFonts w:cs="Times New Roman"/>
          <w:szCs w:val="20"/>
        </w:rPr>
        <w:t xml:space="preserve">We have recently rewritten the tools in </w:t>
      </w:r>
      <w:r w:rsidR="008F254A" w:rsidRPr="008F254A">
        <w:rPr>
          <w:rFonts w:cs="Times New Roman"/>
          <w:szCs w:val="20"/>
        </w:rPr>
        <w:t>Microsoft Excel 2007</w:t>
      </w:r>
      <w:r w:rsidR="001309C0">
        <w:rPr>
          <w:rFonts w:cs="Times New Roman"/>
          <w:szCs w:val="20"/>
        </w:rPr>
        <w:t>, making them easier to use. The</w:t>
      </w:r>
      <w:r w:rsidR="006337C2">
        <w:rPr>
          <w:rFonts w:cs="Times New Roman"/>
          <w:szCs w:val="20"/>
        </w:rPr>
        <w:t xml:space="preserve">y </w:t>
      </w:r>
      <w:r w:rsidR="001309C0">
        <w:rPr>
          <w:rFonts w:cs="Times New Roman"/>
          <w:szCs w:val="20"/>
        </w:rPr>
        <w:t>provide</w:t>
      </w:r>
      <w:r w:rsidR="008F254A" w:rsidRPr="008F254A">
        <w:rPr>
          <w:rFonts w:cs="Times New Roman"/>
          <w:szCs w:val="20"/>
        </w:rPr>
        <w:t xml:space="preserve"> graphic summaries and </w:t>
      </w:r>
      <w:r w:rsidR="001309C0">
        <w:rPr>
          <w:rFonts w:cs="Times New Roman"/>
          <w:szCs w:val="20"/>
        </w:rPr>
        <w:t xml:space="preserve">descriptive </w:t>
      </w:r>
      <w:r w:rsidR="008F254A" w:rsidRPr="008F254A">
        <w:rPr>
          <w:rFonts w:cs="Times New Roman"/>
          <w:szCs w:val="20"/>
        </w:rPr>
        <w:t xml:space="preserve">statistics relating features of a piece of music to behavioral measures derived from its practice, performance, </w:t>
      </w:r>
      <w:r w:rsidR="006337C2">
        <w:rPr>
          <w:rFonts w:cs="Times New Roman"/>
          <w:szCs w:val="20"/>
        </w:rPr>
        <w:t>or</w:t>
      </w:r>
      <w:r w:rsidR="006337C2" w:rsidRPr="008F254A">
        <w:rPr>
          <w:rFonts w:cs="Times New Roman"/>
          <w:szCs w:val="20"/>
        </w:rPr>
        <w:t xml:space="preserve"> </w:t>
      </w:r>
      <w:r w:rsidR="008F254A" w:rsidRPr="008F254A">
        <w:rPr>
          <w:rFonts w:cs="Times New Roman"/>
          <w:szCs w:val="20"/>
        </w:rPr>
        <w:t xml:space="preserve">recall.  </w:t>
      </w:r>
    </w:p>
    <w:p w:rsidR="008F254A" w:rsidRPr="008F254A" w:rsidRDefault="008F254A" w:rsidP="008F254A">
      <w:pPr>
        <w:pStyle w:val="Body"/>
        <w:spacing w:line="219" w:lineRule="exact"/>
        <w:rPr>
          <w:rFonts w:cs="Times New Roman"/>
          <w:szCs w:val="20"/>
        </w:rPr>
      </w:pPr>
      <w:r w:rsidRPr="008F254A">
        <w:rPr>
          <w:rFonts w:cs="Times New Roman"/>
          <w:szCs w:val="20"/>
        </w:rPr>
        <w:t xml:space="preserve">SYMP contains 5 modules.  </w:t>
      </w:r>
      <w:r w:rsidR="006337C2">
        <w:rPr>
          <w:rFonts w:cs="Times New Roman"/>
          <w:szCs w:val="20"/>
        </w:rPr>
        <w:t>In t</w:t>
      </w:r>
      <w:r w:rsidRPr="008F254A">
        <w:rPr>
          <w:rFonts w:cs="Times New Roman"/>
          <w:szCs w:val="20"/>
        </w:rPr>
        <w:t>he first module</w:t>
      </w:r>
      <w:r w:rsidR="006337C2">
        <w:rPr>
          <w:rFonts w:cs="Times New Roman"/>
          <w:szCs w:val="20"/>
        </w:rPr>
        <w:t>,</w:t>
      </w:r>
      <w:r w:rsidRPr="008F254A">
        <w:rPr>
          <w:rFonts w:cs="Times New Roman"/>
          <w:szCs w:val="20"/>
        </w:rPr>
        <w:t xml:space="preserve"> </w:t>
      </w:r>
      <w:r w:rsidR="00962DBD">
        <w:rPr>
          <w:rFonts w:cs="Times New Roman"/>
          <w:szCs w:val="20"/>
        </w:rPr>
        <w:t xml:space="preserve">the researcher </w:t>
      </w:r>
      <w:r w:rsidR="006337C2">
        <w:rPr>
          <w:rFonts w:cs="Times New Roman"/>
          <w:szCs w:val="20"/>
        </w:rPr>
        <w:t>enters</w:t>
      </w:r>
      <w:r w:rsidR="006337C2" w:rsidRPr="008F254A">
        <w:rPr>
          <w:rFonts w:cs="Times New Roman"/>
          <w:szCs w:val="20"/>
        </w:rPr>
        <w:t xml:space="preserve"> </w:t>
      </w:r>
      <w:r w:rsidR="00962DBD">
        <w:rPr>
          <w:rFonts w:cs="Times New Roman"/>
          <w:szCs w:val="20"/>
        </w:rPr>
        <w:t xml:space="preserve">bar-by-bar (or beat-by-beat) </w:t>
      </w:r>
      <w:r w:rsidRPr="008F254A">
        <w:rPr>
          <w:rFonts w:cs="Times New Roman"/>
          <w:szCs w:val="20"/>
        </w:rPr>
        <w:t xml:space="preserve">information about the </w:t>
      </w:r>
      <w:r w:rsidR="00962DBD">
        <w:rPr>
          <w:rFonts w:cs="Times New Roman"/>
          <w:szCs w:val="20"/>
        </w:rPr>
        <w:t>music and its practice/performance</w:t>
      </w:r>
      <w:r w:rsidR="006337C2">
        <w:rPr>
          <w:rFonts w:cs="Times New Roman"/>
          <w:szCs w:val="20"/>
        </w:rPr>
        <w:t xml:space="preserve"> into separate Excel spreadsheets</w:t>
      </w:r>
      <w:r w:rsidR="00962DBD">
        <w:rPr>
          <w:rFonts w:cs="Times New Roman"/>
          <w:szCs w:val="20"/>
        </w:rPr>
        <w:t xml:space="preserve">. </w:t>
      </w:r>
      <w:r w:rsidR="001309C0">
        <w:rPr>
          <w:rFonts w:cs="Times New Roman"/>
          <w:szCs w:val="20"/>
        </w:rPr>
        <w:t>For PCs, the musician normally marks the</w:t>
      </w:r>
      <w:r w:rsidR="00AE6B01">
        <w:rPr>
          <w:rFonts w:cs="Times New Roman"/>
          <w:szCs w:val="20"/>
        </w:rPr>
        <w:t>ir</w:t>
      </w:r>
      <w:r w:rsidR="001309C0">
        <w:rPr>
          <w:rFonts w:cs="Times New Roman"/>
          <w:szCs w:val="20"/>
        </w:rPr>
        <w:t xml:space="preserve"> locations on copies of the score</w:t>
      </w:r>
      <w:r w:rsidR="00AE6B01">
        <w:rPr>
          <w:rFonts w:cs="Times New Roman"/>
          <w:szCs w:val="20"/>
        </w:rPr>
        <w:t xml:space="preserve">. We </w:t>
      </w:r>
      <w:r w:rsidR="003E4DB4">
        <w:rPr>
          <w:rFonts w:cs="Times New Roman"/>
          <w:szCs w:val="20"/>
        </w:rPr>
        <w:t xml:space="preserve">later entered </w:t>
      </w:r>
      <w:r w:rsidR="00AE6B01">
        <w:rPr>
          <w:rFonts w:cs="Times New Roman"/>
          <w:szCs w:val="20"/>
        </w:rPr>
        <w:t xml:space="preserve">them </w:t>
      </w:r>
      <w:r w:rsidR="003E4DB4">
        <w:rPr>
          <w:rFonts w:cs="Times New Roman"/>
          <w:szCs w:val="20"/>
        </w:rPr>
        <w:t xml:space="preserve">into </w:t>
      </w:r>
      <w:r w:rsidR="006337C2">
        <w:rPr>
          <w:rFonts w:cs="Times New Roman"/>
          <w:szCs w:val="20"/>
        </w:rPr>
        <w:t>the</w:t>
      </w:r>
      <w:r w:rsidR="001309C0">
        <w:rPr>
          <w:rFonts w:cs="Times New Roman"/>
          <w:szCs w:val="20"/>
        </w:rPr>
        <w:t xml:space="preserve"> spreadsheet.</w:t>
      </w:r>
      <w:r w:rsidRPr="008F254A">
        <w:rPr>
          <w:rFonts w:cs="Times New Roman"/>
          <w:szCs w:val="20"/>
        </w:rPr>
        <w:t xml:space="preserve"> </w:t>
      </w:r>
      <w:r w:rsidR="00962DBD">
        <w:rPr>
          <w:rFonts w:cs="Times New Roman"/>
          <w:szCs w:val="20"/>
        </w:rPr>
        <w:t xml:space="preserve">Information about practice or performance </w:t>
      </w:r>
      <w:r w:rsidRPr="008F254A">
        <w:rPr>
          <w:rFonts w:cs="Times New Roman"/>
          <w:szCs w:val="20"/>
        </w:rPr>
        <w:t xml:space="preserve">is </w:t>
      </w:r>
      <w:r w:rsidR="00962DBD">
        <w:rPr>
          <w:rFonts w:cs="Times New Roman"/>
          <w:szCs w:val="20"/>
        </w:rPr>
        <w:t>e</w:t>
      </w:r>
      <w:r w:rsidRPr="008F254A">
        <w:rPr>
          <w:rFonts w:cs="Times New Roman"/>
          <w:szCs w:val="20"/>
        </w:rPr>
        <w:t>ntered</w:t>
      </w:r>
      <w:r w:rsidR="001309C0">
        <w:rPr>
          <w:rFonts w:cs="Times New Roman"/>
          <w:szCs w:val="20"/>
        </w:rPr>
        <w:t xml:space="preserve"> </w:t>
      </w:r>
      <w:r w:rsidR="003F4D21">
        <w:rPr>
          <w:rFonts w:cs="Times New Roman"/>
          <w:szCs w:val="20"/>
        </w:rPr>
        <w:t>into</w:t>
      </w:r>
      <w:r w:rsidR="001309C0">
        <w:rPr>
          <w:rFonts w:cs="Times New Roman"/>
          <w:szCs w:val="20"/>
        </w:rPr>
        <w:t xml:space="preserve"> </w:t>
      </w:r>
      <w:r w:rsidR="00962DBD">
        <w:rPr>
          <w:rFonts w:cs="Times New Roman"/>
          <w:szCs w:val="20"/>
        </w:rPr>
        <w:t>additional</w:t>
      </w:r>
      <w:r w:rsidR="001309C0">
        <w:rPr>
          <w:rFonts w:cs="Times New Roman"/>
          <w:szCs w:val="20"/>
        </w:rPr>
        <w:t xml:space="preserve"> spreadsheet</w:t>
      </w:r>
      <w:r w:rsidR="00962DBD">
        <w:rPr>
          <w:rFonts w:cs="Times New Roman"/>
          <w:szCs w:val="20"/>
        </w:rPr>
        <w:t>s</w:t>
      </w:r>
      <w:r w:rsidRPr="008F254A">
        <w:rPr>
          <w:rFonts w:cs="Times New Roman"/>
          <w:szCs w:val="20"/>
        </w:rPr>
        <w:t xml:space="preserve">. </w:t>
      </w:r>
      <w:r w:rsidR="003F4D21">
        <w:rPr>
          <w:rFonts w:cs="Times New Roman"/>
          <w:szCs w:val="20"/>
        </w:rPr>
        <w:t>Practice</w:t>
      </w:r>
      <w:r w:rsidR="00962DBD">
        <w:rPr>
          <w:rFonts w:cs="Times New Roman"/>
          <w:szCs w:val="20"/>
        </w:rPr>
        <w:t xml:space="preserve"> </w:t>
      </w:r>
      <w:r w:rsidR="003F4D21">
        <w:rPr>
          <w:rFonts w:cs="Times New Roman"/>
          <w:szCs w:val="20"/>
        </w:rPr>
        <w:t xml:space="preserve">is </w:t>
      </w:r>
      <w:r w:rsidR="00962DBD">
        <w:rPr>
          <w:rFonts w:cs="Times New Roman"/>
          <w:szCs w:val="20"/>
        </w:rPr>
        <w:t xml:space="preserve">represented </w:t>
      </w:r>
      <w:r w:rsidR="003F4D21">
        <w:rPr>
          <w:rFonts w:cs="Times New Roman"/>
          <w:szCs w:val="20"/>
        </w:rPr>
        <w:t xml:space="preserve">by </w:t>
      </w:r>
      <w:r w:rsidR="006337C2">
        <w:rPr>
          <w:rFonts w:cs="Times New Roman"/>
          <w:szCs w:val="20"/>
        </w:rPr>
        <w:t xml:space="preserve">recording </w:t>
      </w:r>
      <w:r w:rsidR="003F4D21">
        <w:rPr>
          <w:rFonts w:cs="Times New Roman"/>
          <w:szCs w:val="20"/>
        </w:rPr>
        <w:t xml:space="preserve">where </w:t>
      </w:r>
      <w:r w:rsidRPr="008F254A">
        <w:rPr>
          <w:rFonts w:cs="Times New Roman"/>
          <w:szCs w:val="20"/>
        </w:rPr>
        <w:t>playing started and stopped</w:t>
      </w:r>
      <w:r w:rsidR="00962DBD">
        <w:rPr>
          <w:rFonts w:cs="Times New Roman"/>
          <w:szCs w:val="20"/>
        </w:rPr>
        <w:t>, performance by bar-to-bar measures of tempo or sound level, recall by measure</w:t>
      </w:r>
      <w:r w:rsidR="006337C2">
        <w:rPr>
          <w:rFonts w:cs="Times New Roman"/>
          <w:szCs w:val="20"/>
        </w:rPr>
        <w:t>s</w:t>
      </w:r>
      <w:r w:rsidR="00962DBD">
        <w:rPr>
          <w:rFonts w:cs="Times New Roman"/>
          <w:szCs w:val="20"/>
        </w:rPr>
        <w:t xml:space="preserve"> of accuracy. Any behavioral measure of this sort can be used.</w:t>
      </w:r>
    </w:p>
    <w:p w:rsidR="003809D1" w:rsidRDefault="008F254A" w:rsidP="008F254A">
      <w:pPr>
        <w:pStyle w:val="Body"/>
        <w:spacing w:line="219" w:lineRule="exact"/>
        <w:rPr>
          <w:rFonts w:cs="Times New Roman"/>
          <w:szCs w:val="20"/>
        </w:rPr>
      </w:pPr>
      <w:r w:rsidRPr="008F254A">
        <w:rPr>
          <w:rFonts w:cs="Times New Roman"/>
          <w:szCs w:val="20"/>
        </w:rPr>
        <w:lastRenderedPageBreak/>
        <w:t xml:space="preserve">The other 4 modules provide </w:t>
      </w:r>
      <w:r w:rsidR="00457300">
        <w:rPr>
          <w:rFonts w:cs="Times New Roman"/>
          <w:szCs w:val="20"/>
        </w:rPr>
        <w:t xml:space="preserve">statistical and graphical representations of the relationship between </w:t>
      </w:r>
      <w:r w:rsidR="000B3A61">
        <w:rPr>
          <w:rFonts w:cs="Times New Roman"/>
          <w:szCs w:val="20"/>
        </w:rPr>
        <w:t xml:space="preserve">the </w:t>
      </w:r>
      <w:r w:rsidR="00457300">
        <w:rPr>
          <w:rFonts w:cs="Times New Roman"/>
          <w:szCs w:val="20"/>
        </w:rPr>
        <w:t>music</w:t>
      </w:r>
      <w:r w:rsidR="00987A83">
        <w:rPr>
          <w:rFonts w:cs="Times New Roman"/>
          <w:szCs w:val="20"/>
        </w:rPr>
        <w:t xml:space="preserve">ian’s reports and </w:t>
      </w:r>
      <w:r w:rsidR="00457300">
        <w:rPr>
          <w:rFonts w:cs="Times New Roman"/>
          <w:szCs w:val="20"/>
        </w:rPr>
        <w:t xml:space="preserve">performance </w:t>
      </w:r>
      <w:r w:rsidR="00987A83">
        <w:rPr>
          <w:rFonts w:cs="Times New Roman"/>
          <w:szCs w:val="20"/>
        </w:rPr>
        <w:t>during practice or performance</w:t>
      </w:r>
      <w:r w:rsidR="000B3A61">
        <w:rPr>
          <w:rFonts w:cs="Times New Roman"/>
          <w:szCs w:val="20"/>
        </w:rPr>
        <w:t xml:space="preserve">. </w:t>
      </w:r>
      <w:r w:rsidRPr="008F254A">
        <w:rPr>
          <w:rFonts w:cs="Times New Roman"/>
          <w:szCs w:val="20"/>
        </w:rPr>
        <w:t xml:space="preserve">  Module 2 gives a graphical display of </w:t>
      </w:r>
      <w:r w:rsidR="009A3A5A">
        <w:rPr>
          <w:rFonts w:cs="Times New Roman"/>
          <w:szCs w:val="20"/>
        </w:rPr>
        <w:t>the</w:t>
      </w:r>
      <w:r w:rsidR="009A3A5A" w:rsidRPr="008F254A">
        <w:rPr>
          <w:rFonts w:cs="Times New Roman"/>
          <w:szCs w:val="20"/>
        </w:rPr>
        <w:t xml:space="preserve"> </w:t>
      </w:r>
      <w:r w:rsidRPr="008F254A">
        <w:rPr>
          <w:rFonts w:cs="Times New Roman"/>
          <w:szCs w:val="20"/>
        </w:rPr>
        <w:t xml:space="preserve">measures practiced in each session. The example in Figure </w:t>
      </w:r>
      <w:r w:rsidR="00BB4F33">
        <w:rPr>
          <w:rFonts w:cs="Times New Roman"/>
          <w:szCs w:val="20"/>
        </w:rPr>
        <w:t>5</w:t>
      </w:r>
      <w:r w:rsidR="003809D1">
        <w:rPr>
          <w:rFonts w:cs="Times New Roman"/>
          <w:szCs w:val="20"/>
        </w:rPr>
        <w:t xml:space="preserve"> </w:t>
      </w:r>
      <w:r w:rsidR="003809D1" w:rsidRPr="008F254A">
        <w:rPr>
          <w:rFonts w:cs="Times New Roman"/>
          <w:szCs w:val="20"/>
        </w:rPr>
        <w:t xml:space="preserve">shows a musician practicing a piece in sections and then playing through </w:t>
      </w:r>
      <w:r w:rsidR="000B3A61">
        <w:rPr>
          <w:rFonts w:cs="Times New Roman"/>
          <w:szCs w:val="20"/>
        </w:rPr>
        <w:t xml:space="preserve">the entire piece </w:t>
      </w:r>
      <w:r w:rsidR="003809D1" w:rsidRPr="008F254A">
        <w:rPr>
          <w:rFonts w:cs="Times New Roman"/>
          <w:szCs w:val="20"/>
        </w:rPr>
        <w:t>without stopping.</w:t>
      </w:r>
      <w:r w:rsidR="003809D1">
        <w:rPr>
          <w:rFonts w:cs="Times New Roman"/>
          <w:szCs w:val="20"/>
        </w:rPr>
        <w:t xml:space="preserve"> The figure </w:t>
      </w:r>
      <w:r w:rsidRPr="008F254A">
        <w:rPr>
          <w:rFonts w:cs="Times New Roman"/>
          <w:szCs w:val="20"/>
        </w:rPr>
        <w:t xml:space="preserve">reads from bottom to top with each </w:t>
      </w:r>
      <w:r w:rsidR="000B3A61">
        <w:rPr>
          <w:rFonts w:cs="Times New Roman"/>
          <w:szCs w:val="20"/>
        </w:rPr>
        <w:t xml:space="preserve">horizontal, </w:t>
      </w:r>
      <w:r w:rsidRPr="008F254A">
        <w:rPr>
          <w:rFonts w:cs="Times New Roman"/>
          <w:szCs w:val="20"/>
        </w:rPr>
        <w:t xml:space="preserve">black line representing continuous playing of the corresponding measures. The figure also shows </w:t>
      </w:r>
      <w:r w:rsidR="009A3A5A">
        <w:rPr>
          <w:rFonts w:cs="Times New Roman"/>
          <w:szCs w:val="20"/>
        </w:rPr>
        <w:t>how</w:t>
      </w:r>
      <w:r w:rsidRPr="008F254A">
        <w:rPr>
          <w:rFonts w:cs="Times New Roman"/>
          <w:szCs w:val="20"/>
        </w:rPr>
        <w:t xml:space="preserve"> </w:t>
      </w:r>
      <w:r w:rsidR="000B3A61">
        <w:rPr>
          <w:rFonts w:cs="Times New Roman"/>
          <w:szCs w:val="20"/>
        </w:rPr>
        <w:t xml:space="preserve">practice can be related to the </w:t>
      </w:r>
      <w:r w:rsidRPr="008F254A">
        <w:rPr>
          <w:rFonts w:cs="Times New Roman"/>
          <w:szCs w:val="20"/>
        </w:rPr>
        <w:t xml:space="preserve">musical </w:t>
      </w:r>
      <w:r w:rsidR="000B3A61">
        <w:rPr>
          <w:rFonts w:cs="Times New Roman"/>
          <w:szCs w:val="20"/>
        </w:rPr>
        <w:t xml:space="preserve">properties of a piece or to reports of PCs. </w:t>
      </w:r>
      <w:r w:rsidR="009A3A5A">
        <w:rPr>
          <w:rFonts w:cs="Times New Roman"/>
          <w:szCs w:val="20"/>
        </w:rPr>
        <w:t xml:space="preserve">In this example, the </w:t>
      </w:r>
      <w:r w:rsidRPr="008F254A">
        <w:rPr>
          <w:rFonts w:cs="Times New Roman"/>
          <w:szCs w:val="20"/>
        </w:rPr>
        <w:t xml:space="preserve">vertical green lines represent the </w:t>
      </w:r>
      <w:r w:rsidR="000B3A61">
        <w:rPr>
          <w:rFonts w:cs="Times New Roman"/>
          <w:szCs w:val="20"/>
        </w:rPr>
        <w:t>boundaries between</w:t>
      </w:r>
      <w:r w:rsidRPr="008F254A">
        <w:rPr>
          <w:rFonts w:cs="Times New Roman"/>
          <w:szCs w:val="20"/>
        </w:rPr>
        <w:t xml:space="preserve"> major sections.  </w:t>
      </w:r>
    </w:p>
    <w:p w:rsidR="003E4DB4" w:rsidRPr="003E4DB4" w:rsidRDefault="003E4DB4" w:rsidP="003E4DB4">
      <w:pPr>
        <w:spacing w:before="140" w:after="0" w:line="219" w:lineRule="exact"/>
        <w:jc w:val="both"/>
        <w:rPr>
          <w:rFonts w:ascii="Times New Roman" w:hAnsi="Times New Roman" w:cs="Times New Roman"/>
          <w:sz w:val="18"/>
          <w:szCs w:val="18"/>
        </w:rPr>
      </w:pPr>
      <w:r w:rsidRPr="003E4DB4">
        <w:rPr>
          <w:rFonts w:ascii="Times New Roman" w:hAnsi="Times New Roman" w:cs="Times New Roman"/>
          <w:b/>
          <w:sz w:val="18"/>
          <w:szCs w:val="18"/>
        </w:rPr>
        <w:t xml:space="preserve">Figure 5: </w:t>
      </w:r>
      <w:r w:rsidRPr="003E4DB4">
        <w:rPr>
          <w:rFonts w:ascii="Times New Roman" w:hAnsi="Times New Roman" w:cs="Times New Roman"/>
          <w:sz w:val="18"/>
          <w:szCs w:val="18"/>
        </w:rPr>
        <w:t>Measures played in individual successive practice segments with Musical features/PC overlaid.</w:t>
      </w:r>
    </w:p>
    <w:p w:rsidR="008F254A" w:rsidRPr="008F254A" w:rsidRDefault="008F254A" w:rsidP="008F254A">
      <w:pPr>
        <w:spacing w:before="140" w:after="0" w:line="219" w:lineRule="exact"/>
        <w:jc w:val="both"/>
        <w:rPr>
          <w:rFonts w:ascii="Times New Roman" w:hAnsi="Times New Roman" w:cs="Times New Roman"/>
          <w:sz w:val="18"/>
          <w:szCs w:val="20"/>
        </w:rPr>
      </w:pPr>
      <w:r w:rsidRPr="008F254A">
        <w:rPr>
          <w:rFonts w:ascii="Times New Roman" w:hAnsi="Times New Roman" w:cs="Times New Roman"/>
          <w:sz w:val="18"/>
          <w:szCs w:val="20"/>
        </w:rPr>
        <w:t xml:space="preserve">Module 3 allows the investigator to view two additional charts.  The first shows where playing started and stopped in each measure in one or more practice sessions.  The second chart allows the user to see the number of times each measure was repeated, in one or more practice sessions. </w:t>
      </w:r>
      <w:r w:rsidR="005363A9">
        <w:rPr>
          <w:rFonts w:ascii="Times New Roman" w:hAnsi="Times New Roman" w:cs="Times New Roman"/>
          <w:sz w:val="18"/>
          <w:szCs w:val="20"/>
        </w:rPr>
        <w:t xml:space="preserve">By selecting one or more </w:t>
      </w:r>
      <w:r w:rsidRPr="008F254A">
        <w:rPr>
          <w:rFonts w:ascii="Times New Roman" w:hAnsi="Times New Roman" w:cs="Times New Roman"/>
          <w:sz w:val="18"/>
          <w:szCs w:val="20"/>
        </w:rPr>
        <w:t>musical feature</w:t>
      </w:r>
      <w:r w:rsidR="005363A9">
        <w:rPr>
          <w:rFonts w:ascii="Times New Roman" w:hAnsi="Times New Roman" w:cs="Times New Roman"/>
          <w:sz w:val="18"/>
          <w:szCs w:val="20"/>
        </w:rPr>
        <w:t xml:space="preserve">s or </w:t>
      </w:r>
      <w:r w:rsidRPr="008F254A">
        <w:rPr>
          <w:rFonts w:ascii="Times New Roman" w:hAnsi="Times New Roman" w:cs="Times New Roman"/>
          <w:sz w:val="18"/>
          <w:szCs w:val="20"/>
        </w:rPr>
        <w:t>PC</w:t>
      </w:r>
      <w:r w:rsidR="005363A9">
        <w:rPr>
          <w:rFonts w:ascii="Times New Roman" w:hAnsi="Times New Roman" w:cs="Times New Roman"/>
          <w:sz w:val="18"/>
          <w:szCs w:val="20"/>
        </w:rPr>
        <w:t xml:space="preserve">s, the user can see how these </w:t>
      </w:r>
      <w:r w:rsidRPr="008F254A">
        <w:rPr>
          <w:rFonts w:ascii="Times New Roman" w:hAnsi="Times New Roman" w:cs="Times New Roman"/>
          <w:sz w:val="18"/>
          <w:szCs w:val="20"/>
        </w:rPr>
        <w:t>relate to starts</w:t>
      </w:r>
      <w:r w:rsidR="00987A83">
        <w:rPr>
          <w:rFonts w:ascii="Times New Roman" w:hAnsi="Times New Roman" w:cs="Times New Roman"/>
          <w:sz w:val="18"/>
          <w:szCs w:val="20"/>
        </w:rPr>
        <w:t xml:space="preserve">, </w:t>
      </w:r>
      <w:r w:rsidRPr="008F254A">
        <w:rPr>
          <w:rFonts w:ascii="Times New Roman" w:hAnsi="Times New Roman" w:cs="Times New Roman"/>
          <w:sz w:val="18"/>
          <w:szCs w:val="20"/>
        </w:rPr>
        <w:t xml:space="preserve">stops and repetitions. </w:t>
      </w:r>
      <w:r w:rsidR="000B3A61">
        <w:rPr>
          <w:rFonts w:ascii="Times New Roman" w:hAnsi="Times New Roman" w:cs="Times New Roman"/>
          <w:sz w:val="18"/>
          <w:szCs w:val="20"/>
        </w:rPr>
        <w:t xml:space="preserve">In our own studies, we </w:t>
      </w:r>
      <w:r w:rsidR="005363A9">
        <w:rPr>
          <w:rFonts w:ascii="Times New Roman" w:hAnsi="Times New Roman" w:cs="Times New Roman"/>
          <w:sz w:val="18"/>
          <w:szCs w:val="20"/>
        </w:rPr>
        <w:t xml:space="preserve">used charts like these to examine how </w:t>
      </w:r>
      <w:r w:rsidR="000B3A61">
        <w:rPr>
          <w:rFonts w:ascii="Times New Roman" w:hAnsi="Times New Roman" w:cs="Times New Roman"/>
          <w:sz w:val="18"/>
          <w:szCs w:val="20"/>
        </w:rPr>
        <w:t xml:space="preserve">the use of PCs </w:t>
      </w:r>
      <w:r w:rsidRPr="008F254A">
        <w:rPr>
          <w:rFonts w:ascii="Times New Roman" w:hAnsi="Times New Roman" w:cs="Times New Roman"/>
          <w:sz w:val="18"/>
          <w:szCs w:val="20"/>
        </w:rPr>
        <w:t xml:space="preserve">in performance </w:t>
      </w:r>
      <w:r w:rsidR="000B3A61">
        <w:rPr>
          <w:rFonts w:ascii="Times New Roman" w:hAnsi="Times New Roman" w:cs="Times New Roman"/>
          <w:sz w:val="18"/>
          <w:szCs w:val="20"/>
        </w:rPr>
        <w:t>wa</w:t>
      </w:r>
      <w:r w:rsidRPr="008F254A">
        <w:rPr>
          <w:rFonts w:ascii="Times New Roman" w:hAnsi="Times New Roman" w:cs="Times New Roman"/>
          <w:sz w:val="18"/>
          <w:szCs w:val="20"/>
        </w:rPr>
        <w:t xml:space="preserve">s prepared </w:t>
      </w:r>
      <w:r w:rsidR="005363A9">
        <w:rPr>
          <w:rFonts w:ascii="Times New Roman" w:hAnsi="Times New Roman" w:cs="Times New Roman"/>
          <w:sz w:val="18"/>
          <w:szCs w:val="20"/>
        </w:rPr>
        <w:t>during</w:t>
      </w:r>
      <w:r w:rsidR="005363A9" w:rsidRPr="008F254A">
        <w:rPr>
          <w:rFonts w:ascii="Times New Roman" w:hAnsi="Times New Roman" w:cs="Times New Roman"/>
          <w:sz w:val="18"/>
          <w:szCs w:val="20"/>
        </w:rPr>
        <w:t xml:space="preserve"> </w:t>
      </w:r>
      <w:r w:rsidR="00954DF3">
        <w:rPr>
          <w:rFonts w:ascii="Times New Roman" w:hAnsi="Times New Roman" w:cs="Times New Roman"/>
          <w:sz w:val="18"/>
          <w:szCs w:val="20"/>
        </w:rPr>
        <w:t>practice</w:t>
      </w:r>
      <w:r w:rsidRPr="008F254A">
        <w:rPr>
          <w:rFonts w:ascii="Times New Roman" w:hAnsi="Times New Roman" w:cs="Times New Roman"/>
          <w:sz w:val="18"/>
          <w:szCs w:val="20"/>
        </w:rPr>
        <w:t>. Although the musician</w:t>
      </w:r>
      <w:r w:rsidR="000B3A61">
        <w:rPr>
          <w:rFonts w:ascii="Times New Roman" w:hAnsi="Times New Roman" w:cs="Times New Roman"/>
          <w:sz w:val="18"/>
          <w:szCs w:val="20"/>
        </w:rPr>
        <w:t>s</w:t>
      </w:r>
      <w:r w:rsidRPr="008F254A">
        <w:rPr>
          <w:rFonts w:ascii="Times New Roman" w:hAnsi="Times New Roman" w:cs="Times New Roman"/>
          <w:sz w:val="18"/>
          <w:szCs w:val="20"/>
        </w:rPr>
        <w:t xml:space="preserve"> </w:t>
      </w:r>
      <w:r w:rsidR="000B3A61">
        <w:rPr>
          <w:rFonts w:ascii="Times New Roman" w:hAnsi="Times New Roman" w:cs="Times New Roman"/>
          <w:sz w:val="18"/>
          <w:szCs w:val="20"/>
        </w:rPr>
        <w:t xml:space="preserve">were </w:t>
      </w:r>
      <w:r w:rsidRPr="008F254A">
        <w:rPr>
          <w:rFonts w:ascii="Times New Roman" w:hAnsi="Times New Roman" w:cs="Times New Roman"/>
          <w:sz w:val="18"/>
          <w:szCs w:val="20"/>
        </w:rPr>
        <w:t xml:space="preserve">typically not </w:t>
      </w:r>
      <w:r w:rsidR="000E60E4">
        <w:rPr>
          <w:rFonts w:ascii="Times New Roman" w:hAnsi="Times New Roman" w:cs="Times New Roman"/>
          <w:sz w:val="18"/>
          <w:szCs w:val="20"/>
        </w:rPr>
        <w:t xml:space="preserve">able to report the location </w:t>
      </w:r>
      <w:r w:rsidR="00954DF3">
        <w:rPr>
          <w:rFonts w:ascii="Times New Roman" w:hAnsi="Times New Roman" w:cs="Times New Roman"/>
          <w:sz w:val="18"/>
          <w:szCs w:val="20"/>
        </w:rPr>
        <w:t xml:space="preserve">of </w:t>
      </w:r>
      <w:r w:rsidR="000B3A61">
        <w:rPr>
          <w:rFonts w:ascii="Times New Roman" w:hAnsi="Times New Roman" w:cs="Times New Roman"/>
          <w:sz w:val="18"/>
          <w:szCs w:val="20"/>
        </w:rPr>
        <w:t>their</w:t>
      </w:r>
      <w:r w:rsidRPr="008F254A">
        <w:rPr>
          <w:rFonts w:ascii="Times New Roman" w:hAnsi="Times New Roman" w:cs="Times New Roman"/>
          <w:sz w:val="18"/>
          <w:szCs w:val="20"/>
        </w:rPr>
        <w:t xml:space="preserve"> PCs </w:t>
      </w:r>
      <w:r w:rsidR="005363A9">
        <w:rPr>
          <w:rFonts w:ascii="Times New Roman" w:hAnsi="Times New Roman" w:cs="Times New Roman"/>
          <w:sz w:val="18"/>
          <w:szCs w:val="20"/>
        </w:rPr>
        <w:t xml:space="preserve">until </w:t>
      </w:r>
      <w:r w:rsidR="000E60E4">
        <w:rPr>
          <w:rFonts w:ascii="Times New Roman" w:hAnsi="Times New Roman" w:cs="Times New Roman"/>
          <w:sz w:val="18"/>
          <w:szCs w:val="20"/>
        </w:rPr>
        <w:t xml:space="preserve">around </w:t>
      </w:r>
      <w:r w:rsidR="000B3A61">
        <w:rPr>
          <w:rFonts w:ascii="Times New Roman" w:hAnsi="Times New Roman" w:cs="Times New Roman"/>
          <w:sz w:val="18"/>
          <w:szCs w:val="20"/>
        </w:rPr>
        <w:t>the time of the</w:t>
      </w:r>
      <w:r w:rsidRPr="008F254A">
        <w:rPr>
          <w:rFonts w:ascii="Times New Roman" w:hAnsi="Times New Roman" w:cs="Times New Roman"/>
          <w:sz w:val="18"/>
          <w:szCs w:val="20"/>
        </w:rPr>
        <w:t xml:space="preserve"> performance, the </w:t>
      </w:r>
      <w:r w:rsidR="00CD75B4">
        <w:rPr>
          <w:rFonts w:ascii="Times New Roman" w:hAnsi="Times New Roman" w:cs="Times New Roman"/>
          <w:sz w:val="18"/>
          <w:szCs w:val="20"/>
        </w:rPr>
        <w:t xml:space="preserve">charts showed that </w:t>
      </w:r>
      <w:r w:rsidRPr="008F254A">
        <w:rPr>
          <w:rFonts w:ascii="Times New Roman" w:hAnsi="Times New Roman" w:cs="Times New Roman"/>
          <w:sz w:val="18"/>
          <w:szCs w:val="20"/>
        </w:rPr>
        <w:t xml:space="preserve">groundwork </w:t>
      </w:r>
      <w:r w:rsidR="000B3A61">
        <w:rPr>
          <w:rFonts w:ascii="Times New Roman" w:hAnsi="Times New Roman" w:cs="Times New Roman"/>
          <w:sz w:val="18"/>
          <w:szCs w:val="20"/>
        </w:rPr>
        <w:t>had</w:t>
      </w:r>
      <w:r w:rsidRPr="008F254A">
        <w:rPr>
          <w:rFonts w:ascii="Times New Roman" w:hAnsi="Times New Roman" w:cs="Times New Roman"/>
          <w:sz w:val="18"/>
          <w:szCs w:val="20"/>
        </w:rPr>
        <w:t xml:space="preserve"> been prepared </w:t>
      </w:r>
      <w:r w:rsidR="00CD75B4">
        <w:rPr>
          <w:rFonts w:ascii="Times New Roman" w:hAnsi="Times New Roman" w:cs="Times New Roman"/>
          <w:sz w:val="18"/>
          <w:szCs w:val="20"/>
        </w:rPr>
        <w:t xml:space="preserve">much earlier </w:t>
      </w:r>
      <w:r w:rsidR="005363A9">
        <w:rPr>
          <w:rFonts w:ascii="Times New Roman" w:hAnsi="Times New Roman" w:cs="Times New Roman"/>
          <w:sz w:val="18"/>
          <w:szCs w:val="20"/>
        </w:rPr>
        <w:t xml:space="preserve">as </w:t>
      </w:r>
      <w:r w:rsidR="00123C8A">
        <w:rPr>
          <w:rFonts w:ascii="Times New Roman" w:hAnsi="Times New Roman" w:cs="Times New Roman"/>
          <w:sz w:val="18"/>
          <w:szCs w:val="20"/>
        </w:rPr>
        <w:t>musician</w:t>
      </w:r>
      <w:r w:rsidR="00954DF3">
        <w:rPr>
          <w:rFonts w:ascii="Times New Roman" w:hAnsi="Times New Roman" w:cs="Times New Roman"/>
          <w:sz w:val="18"/>
          <w:szCs w:val="20"/>
        </w:rPr>
        <w:t>s</w:t>
      </w:r>
      <w:r w:rsidR="00123C8A">
        <w:rPr>
          <w:rFonts w:ascii="Times New Roman" w:hAnsi="Times New Roman" w:cs="Times New Roman"/>
          <w:sz w:val="18"/>
          <w:szCs w:val="20"/>
        </w:rPr>
        <w:t xml:space="preserve"> practiced attending to these features of </w:t>
      </w:r>
      <w:r w:rsidRPr="008F254A">
        <w:rPr>
          <w:rFonts w:ascii="Times New Roman" w:hAnsi="Times New Roman" w:cs="Times New Roman"/>
          <w:sz w:val="18"/>
          <w:szCs w:val="20"/>
        </w:rPr>
        <w:t xml:space="preserve">the music during </w:t>
      </w:r>
      <w:r w:rsidR="00CD75B4">
        <w:rPr>
          <w:rFonts w:ascii="Times New Roman" w:hAnsi="Times New Roman" w:cs="Times New Roman"/>
          <w:sz w:val="18"/>
          <w:szCs w:val="20"/>
        </w:rPr>
        <w:t xml:space="preserve">months of </w:t>
      </w:r>
      <w:r w:rsidRPr="008F254A">
        <w:rPr>
          <w:rFonts w:ascii="Times New Roman" w:hAnsi="Times New Roman" w:cs="Times New Roman"/>
          <w:sz w:val="18"/>
          <w:szCs w:val="20"/>
        </w:rPr>
        <w:t xml:space="preserve">practice. Practice graphs like </w:t>
      </w:r>
      <w:r w:rsidR="00954DF3">
        <w:rPr>
          <w:rFonts w:ascii="Times New Roman" w:hAnsi="Times New Roman" w:cs="Times New Roman"/>
          <w:sz w:val="18"/>
          <w:szCs w:val="20"/>
        </w:rPr>
        <w:t xml:space="preserve">the one in </w:t>
      </w:r>
      <w:r w:rsidRPr="008F254A">
        <w:rPr>
          <w:rFonts w:ascii="Times New Roman" w:hAnsi="Times New Roman" w:cs="Times New Roman"/>
          <w:sz w:val="18"/>
          <w:szCs w:val="20"/>
        </w:rPr>
        <w:t xml:space="preserve">Figure </w:t>
      </w:r>
      <w:r w:rsidR="009A3A5A">
        <w:rPr>
          <w:rFonts w:ascii="Times New Roman" w:hAnsi="Times New Roman" w:cs="Times New Roman"/>
          <w:sz w:val="18"/>
          <w:szCs w:val="20"/>
        </w:rPr>
        <w:t>5</w:t>
      </w:r>
      <w:r w:rsidRPr="008F254A">
        <w:rPr>
          <w:rFonts w:ascii="Times New Roman" w:hAnsi="Times New Roman" w:cs="Times New Roman"/>
          <w:sz w:val="18"/>
          <w:szCs w:val="20"/>
        </w:rPr>
        <w:t xml:space="preserve"> provide</w:t>
      </w:r>
      <w:r w:rsidR="005363A9">
        <w:rPr>
          <w:rFonts w:ascii="Times New Roman" w:hAnsi="Times New Roman" w:cs="Times New Roman"/>
          <w:sz w:val="18"/>
          <w:szCs w:val="20"/>
        </w:rPr>
        <w:t>d</w:t>
      </w:r>
      <w:r w:rsidRPr="008F254A">
        <w:rPr>
          <w:rFonts w:ascii="Times New Roman" w:hAnsi="Times New Roman" w:cs="Times New Roman"/>
          <w:sz w:val="18"/>
          <w:szCs w:val="20"/>
        </w:rPr>
        <w:t xml:space="preserve"> a</w:t>
      </w:r>
      <w:r w:rsidR="005363A9">
        <w:rPr>
          <w:rFonts w:ascii="Times New Roman" w:hAnsi="Times New Roman" w:cs="Times New Roman"/>
          <w:sz w:val="18"/>
          <w:szCs w:val="20"/>
        </w:rPr>
        <w:t xml:space="preserve"> useful way of visualizing the relationship between the musicians’ practice and the features of the music that they identified in their reports. </w:t>
      </w:r>
      <w:r w:rsidRPr="008F254A">
        <w:rPr>
          <w:rFonts w:ascii="Times New Roman" w:hAnsi="Times New Roman" w:cs="Times New Roman"/>
          <w:sz w:val="18"/>
          <w:szCs w:val="20"/>
        </w:rPr>
        <w:t xml:space="preserve">   </w:t>
      </w:r>
    </w:p>
    <w:p w:rsidR="008F254A" w:rsidRPr="008F254A" w:rsidRDefault="008F254A" w:rsidP="008F254A">
      <w:pPr>
        <w:spacing w:before="140" w:after="0" w:line="219" w:lineRule="exact"/>
        <w:jc w:val="both"/>
        <w:rPr>
          <w:rFonts w:ascii="Times New Roman" w:hAnsi="Times New Roman" w:cs="Times New Roman"/>
          <w:sz w:val="18"/>
          <w:szCs w:val="20"/>
        </w:rPr>
      </w:pPr>
      <w:r w:rsidRPr="008F254A">
        <w:rPr>
          <w:rFonts w:ascii="Times New Roman" w:hAnsi="Times New Roman" w:cs="Times New Roman"/>
          <w:sz w:val="18"/>
          <w:szCs w:val="20"/>
        </w:rPr>
        <w:t xml:space="preserve">Module 4 allows the user to graphically track changes </w:t>
      </w:r>
      <w:r w:rsidR="001F10A1">
        <w:rPr>
          <w:rFonts w:ascii="Times New Roman" w:hAnsi="Times New Roman" w:cs="Times New Roman"/>
          <w:sz w:val="18"/>
          <w:szCs w:val="20"/>
        </w:rPr>
        <w:t xml:space="preserve">in </w:t>
      </w:r>
      <w:r w:rsidRPr="008F254A">
        <w:rPr>
          <w:rFonts w:ascii="Times New Roman" w:hAnsi="Times New Roman" w:cs="Times New Roman"/>
          <w:sz w:val="18"/>
          <w:szCs w:val="20"/>
        </w:rPr>
        <w:t xml:space="preserve">practice </w:t>
      </w:r>
      <w:r w:rsidR="001F10A1">
        <w:rPr>
          <w:rFonts w:ascii="Times New Roman" w:hAnsi="Times New Roman" w:cs="Times New Roman"/>
          <w:sz w:val="18"/>
          <w:szCs w:val="20"/>
        </w:rPr>
        <w:t>across sessions</w:t>
      </w:r>
      <w:r w:rsidR="009A3A5A">
        <w:rPr>
          <w:rFonts w:ascii="Times New Roman" w:hAnsi="Times New Roman" w:cs="Times New Roman"/>
          <w:sz w:val="18"/>
          <w:szCs w:val="20"/>
        </w:rPr>
        <w:t xml:space="preserve">. Any measure of </w:t>
      </w:r>
      <w:r w:rsidR="001F10A1">
        <w:rPr>
          <w:rFonts w:ascii="Times New Roman" w:hAnsi="Times New Roman" w:cs="Times New Roman"/>
          <w:sz w:val="18"/>
          <w:szCs w:val="20"/>
        </w:rPr>
        <w:t>practice</w:t>
      </w:r>
      <w:r w:rsidR="009A3A5A">
        <w:rPr>
          <w:rFonts w:ascii="Times New Roman" w:hAnsi="Times New Roman" w:cs="Times New Roman"/>
          <w:sz w:val="18"/>
          <w:szCs w:val="20"/>
        </w:rPr>
        <w:t xml:space="preserve"> can be tracked, </w:t>
      </w:r>
      <w:r w:rsidRPr="008F254A">
        <w:rPr>
          <w:rFonts w:ascii="Times New Roman" w:hAnsi="Times New Roman" w:cs="Times New Roman"/>
          <w:sz w:val="18"/>
          <w:szCs w:val="20"/>
        </w:rPr>
        <w:t xml:space="preserve">such as tempo, amount of time practiced, </w:t>
      </w:r>
      <w:r w:rsidR="009A3A5A">
        <w:rPr>
          <w:rFonts w:ascii="Times New Roman" w:hAnsi="Times New Roman" w:cs="Times New Roman"/>
          <w:sz w:val="18"/>
          <w:szCs w:val="20"/>
        </w:rPr>
        <w:t>the</w:t>
      </w:r>
      <w:r w:rsidR="009A3A5A" w:rsidRPr="008F254A">
        <w:rPr>
          <w:rFonts w:ascii="Times New Roman" w:hAnsi="Times New Roman" w:cs="Times New Roman"/>
          <w:sz w:val="18"/>
          <w:szCs w:val="20"/>
        </w:rPr>
        <w:t xml:space="preserve"> </w:t>
      </w:r>
      <w:r w:rsidRPr="008F254A">
        <w:rPr>
          <w:rFonts w:ascii="Times New Roman" w:hAnsi="Times New Roman" w:cs="Times New Roman"/>
          <w:sz w:val="18"/>
          <w:szCs w:val="20"/>
        </w:rPr>
        <w:t>number of measures played overall</w:t>
      </w:r>
      <w:r w:rsidR="005363A9">
        <w:rPr>
          <w:rFonts w:ascii="Times New Roman" w:hAnsi="Times New Roman" w:cs="Times New Roman"/>
          <w:sz w:val="18"/>
          <w:szCs w:val="20"/>
        </w:rPr>
        <w:t>, or the number played</w:t>
      </w:r>
      <w:r w:rsidRPr="008F254A">
        <w:rPr>
          <w:rFonts w:ascii="Times New Roman" w:hAnsi="Times New Roman" w:cs="Times New Roman"/>
          <w:sz w:val="18"/>
          <w:szCs w:val="20"/>
        </w:rPr>
        <w:t xml:space="preserve"> from memory. </w:t>
      </w:r>
    </w:p>
    <w:p w:rsidR="008F254A" w:rsidRPr="008F254A" w:rsidRDefault="008F254A" w:rsidP="008F254A">
      <w:pPr>
        <w:spacing w:before="140" w:after="0" w:line="219" w:lineRule="exact"/>
        <w:jc w:val="both"/>
        <w:rPr>
          <w:rFonts w:ascii="Times New Roman" w:hAnsi="Times New Roman" w:cs="Times New Roman"/>
          <w:sz w:val="18"/>
          <w:szCs w:val="20"/>
        </w:rPr>
      </w:pPr>
      <w:r w:rsidRPr="008F254A">
        <w:rPr>
          <w:rFonts w:ascii="Times New Roman" w:hAnsi="Times New Roman" w:cs="Times New Roman"/>
          <w:sz w:val="18"/>
          <w:szCs w:val="20"/>
        </w:rPr>
        <w:lastRenderedPageBreak/>
        <w:t xml:space="preserve">The last module can be used to extract predictors and dependent measures for use in regression analyses that </w:t>
      </w:r>
      <w:r w:rsidR="009A3A5A">
        <w:rPr>
          <w:rFonts w:ascii="Times New Roman" w:hAnsi="Times New Roman" w:cs="Times New Roman"/>
          <w:sz w:val="18"/>
          <w:szCs w:val="20"/>
        </w:rPr>
        <w:t xml:space="preserve">can </w:t>
      </w:r>
      <w:r w:rsidR="005363A9">
        <w:rPr>
          <w:rFonts w:ascii="Times New Roman" w:hAnsi="Times New Roman" w:cs="Times New Roman"/>
          <w:sz w:val="18"/>
          <w:szCs w:val="20"/>
        </w:rPr>
        <w:t>assess</w:t>
      </w:r>
      <w:r w:rsidR="009A3A5A">
        <w:rPr>
          <w:rFonts w:ascii="Times New Roman" w:hAnsi="Times New Roman" w:cs="Times New Roman"/>
          <w:sz w:val="18"/>
          <w:szCs w:val="20"/>
        </w:rPr>
        <w:t xml:space="preserve"> the reliability with</w:t>
      </w:r>
      <w:r w:rsidR="009A3A5A" w:rsidRPr="008F254A">
        <w:rPr>
          <w:rFonts w:ascii="Times New Roman" w:hAnsi="Times New Roman" w:cs="Times New Roman"/>
          <w:sz w:val="18"/>
          <w:szCs w:val="20"/>
        </w:rPr>
        <w:t xml:space="preserve"> </w:t>
      </w:r>
      <w:r w:rsidRPr="008F254A">
        <w:rPr>
          <w:rFonts w:ascii="Times New Roman" w:hAnsi="Times New Roman" w:cs="Times New Roman"/>
          <w:sz w:val="18"/>
          <w:szCs w:val="20"/>
        </w:rPr>
        <w:t xml:space="preserve">which </w:t>
      </w:r>
      <w:r w:rsidR="005363A9">
        <w:rPr>
          <w:rFonts w:ascii="Times New Roman" w:hAnsi="Times New Roman" w:cs="Times New Roman"/>
          <w:sz w:val="18"/>
          <w:szCs w:val="20"/>
        </w:rPr>
        <w:t xml:space="preserve">musical </w:t>
      </w:r>
      <w:r w:rsidRPr="008F254A">
        <w:rPr>
          <w:rFonts w:ascii="Times New Roman" w:hAnsi="Times New Roman" w:cs="Times New Roman"/>
          <w:sz w:val="18"/>
          <w:szCs w:val="20"/>
        </w:rPr>
        <w:t xml:space="preserve">features and </w:t>
      </w:r>
      <w:r w:rsidR="009A3A5A">
        <w:rPr>
          <w:rFonts w:ascii="Times New Roman" w:hAnsi="Times New Roman" w:cs="Times New Roman"/>
          <w:sz w:val="18"/>
          <w:szCs w:val="20"/>
        </w:rPr>
        <w:t>PCs</w:t>
      </w:r>
      <w:r w:rsidR="009A3A5A" w:rsidRPr="008F254A">
        <w:rPr>
          <w:rFonts w:ascii="Times New Roman" w:hAnsi="Times New Roman" w:cs="Times New Roman"/>
          <w:sz w:val="18"/>
          <w:szCs w:val="20"/>
        </w:rPr>
        <w:t xml:space="preserve"> </w:t>
      </w:r>
      <w:r w:rsidRPr="008F254A">
        <w:rPr>
          <w:rFonts w:ascii="Times New Roman" w:hAnsi="Times New Roman" w:cs="Times New Roman"/>
          <w:sz w:val="18"/>
          <w:szCs w:val="20"/>
        </w:rPr>
        <w:t>are related to behavioral measures.</w:t>
      </w:r>
    </w:p>
    <w:p w:rsidR="008F254A" w:rsidRPr="008F254A" w:rsidRDefault="008F254A" w:rsidP="008F254A">
      <w:pPr>
        <w:pStyle w:val="ICOMCSHead1"/>
        <w:tabs>
          <w:tab w:val="num" w:pos="454"/>
        </w:tabs>
        <w:ind w:left="461" w:hanging="461"/>
        <w:rPr>
          <w:rFonts w:cs="Times New Roman"/>
          <w:szCs w:val="20"/>
        </w:rPr>
      </w:pPr>
      <w:r w:rsidRPr="008F254A">
        <w:rPr>
          <w:rFonts w:cs="Times New Roman"/>
          <w:szCs w:val="20"/>
        </w:rPr>
        <w:t>conclusions</w:t>
      </w:r>
    </w:p>
    <w:p w:rsidR="008F254A" w:rsidRPr="008F254A" w:rsidRDefault="005363A9" w:rsidP="008F254A">
      <w:pPr>
        <w:spacing w:before="140" w:after="0" w:line="219" w:lineRule="exact"/>
        <w:jc w:val="both"/>
        <w:rPr>
          <w:rFonts w:ascii="Times New Roman" w:hAnsi="Times New Roman" w:cs="Times New Roman"/>
          <w:sz w:val="18"/>
          <w:szCs w:val="20"/>
        </w:rPr>
      </w:pPr>
      <w:r>
        <w:rPr>
          <w:rFonts w:ascii="Times New Roman" w:hAnsi="Times New Roman" w:cs="Times New Roman"/>
          <w:sz w:val="18"/>
          <w:szCs w:val="20"/>
        </w:rPr>
        <w:t>In our</w:t>
      </w:r>
      <w:r w:rsidRPr="008F254A">
        <w:rPr>
          <w:rFonts w:ascii="Times New Roman" w:hAnsi="Times New Roman" w:cs="Times New Roman"/>
          <w:sz w:val="18"/>
          <w:szCs w:val="20"/>
        </w:rPr>
        <w:t xml:space="preserve"> </w:t>
      </w:r>
      <w:r w:rsidR="008F254A" w:rsidRPr="008F254A">
        <w:rPr>
          <w:rFonts w:ascii="Times New Roman" w:hAnsi="Times New Roman" w:cs="Times New Roman"/>
          <w:sz w:val="18"/>
          <w:szCs w:val="20"/>
        </w:rPr>
        <w:t>longitudinal case studies</w:t>
      </w:r>
      <w:r>
        <w:rPr>
          <w:rFonts w:ascii="Times New Roman" w:hAnsi="Times New Roman" w:cs="Times New Roman"/>
          <w:sz w:val="18"/>
          <w:szCs w:val="20"/>
        </w:rPr>
        <w:t>,</w:t>
      </w:r>
      <w:r w:rsidR="008F254A" w:rsidRPr="008F254A">
        <w:rPr>
          <w:rFonts w:ascii="Times New Roman" w:hAnsi="Times New Roman" w:cs="Times New Roman"/>
          <w:sz w:val="18"/>
          <w:szCs w:val="20"/>
        </w:rPr>
        <w:t xml:space="preserve"> the </w:t>
      </w:r>
      <w:r>
        <w:rPr>
          <w:rFonts w:ascii="Times New Roman" w:hAnsi="Times New Roman" w:cs="Times New Roman"/>
          <w:sz w:val="18"/>
          <w:szCs w:val="20"/>
        </w:rPr>
        <w:t xml:space="preserve">experienced </w:t>
      </w:r>
      <w:r w:rsidR="008F254A" w:rsidRPr="008F254A">
        <w:rPr>
          <w:rFonts w:ascii="Times New Roman" w:hAnsi="Times New Roman" w:cs="Times New Roman"/>
          <w:sz w:val="18"/>
          <w:szCs w:val="20"/>
        </w:rPr>
        <w:t>musicians engaged in extended practice of PCs. This suggests that PCs are necessary for reliable performance, perhaps because motor memory is unreliable (Chaffin et al.</w:t>
      </w:r>
      <w:r w:rsidR="00FD65F8">
        <w:rPr>
          <w:rFonts w:ascii="Times New Roman" w:hAnsi="Times New Roman" w:cs="Times New Roman"/>
          <w:sz w:val="18"/>
          <w:szCs w:val="20"/>
        </w:rPr>
        <w:t>,</w:t>
      </w:r>
      <w:r w:rsidR="008F254A" w:rsidRPr="008F254A">
        <w:rPr>
          <w:rFonts w:ascii="Times New Roman" w:hAnsi="Times New Roman" w:cs="Times New Roman"/>
          <w:sz w:val="18"/>
          <w:szCs w:val="20"/>
        </w:rPr>
        <w:t xml:space="preserve"> 2009).  </w:t>
      </w:r>
      <w:r w:rsidR="00954DF3">
        <w:rPr>
          <w:rFonts w:ascii="Times New Roman" w:hAnsi="Times New Roman" w:cs="Times New Roman"/>
          <w:sz w:val="18"/>
          <w:szCs w:val="20"/>
        </w:rPr>
        <w:t>Our</w:t>
      </w:r>
      <w:r w:rsidR="008F254A" w:rsidRPr="008F254A">
        <w:rPr>
          <w:rFonts w:ascii="Times New Roman" w:hAnsi="Times New Roman" w:cs="Times New Roman"/>
          <w:sz w:val="18"/>
          <w:szCs w:val="20"/>
        </w:rPr>
        <w:t xml:space="preserve"> survey should identify the factors that affect PC use and establish the range of variability in the use of PCs.</w:t>
      </w:r>
    </w:p>
    <w:p w:rsidR="00B42F36" w:rsidRPr="008F254A" w:rsidRDefault="00E37EC3" w:rsidP="00B42F36">
      <w:pPr>
        <w:pStyle w:val="Abstract"/>
        <w:rPr>
          <w:rFonts w:cs="Times New Roman"/>
          <w:szCs w:val="20"/>
        </w:rPr>
      </w:pPr>
      <w:r>
        <w:rPr>
          <w:rFonts w:cs="Times New Roman"/>
          <w:noProof/>
          <w:szCs w:val="20"/>
          <w:lang w:eastAsia="en-US"/>
        </w:rPr>
        <w:drawing>
          <wp:anchor distT="0" distB="0" distL="114300" distR="114300" simplePos="0" relativeHeight="251684864" behindDoc="0" locked="0" layoutInCell="0" allowOverlap="0">
            <wp:simplePos x="0" y="0"/>
            <wp:positionH relativeFrom="leftMargin">
              <wp:posOffset>1004570</wp:posOffset>
            </wp:positionH>
            <wp:positionV relativeFrom="topMargin">
              <wp:posOffset>2695575</wp:posOffset>
            </wp:positionV>
            <wp:extent cx="2694305" cy="1519555"/>
            <wp:effectExtent l="19050" t="0" r="0" b="0"/>
            <wp:wrapTopAndBottom/>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2694305" cy="1519555"/>
                    </a:xfrm>
                    <a:prstGeom prst="rect">
                      <a:avLst/>
                    </a:prstGeom>
                    <a:noFill/>
                  </pic:spPr>
                </pic:pic>
              </a:graphicData>
            </a:graphic>
          </wp:anchor>
        </w:drawing>
      </w:r>
      <w:r w:rsidR="008F254A" w:rsidRPr="008F254A">
        <w:rPr>
          <w:rFonts w:cs="Times New Roman"/>
          <w:szCs w:val="20"/>
        </w:rPr>
        <w:t xml:space="preserve">We hope that </w:t>
      </w:r>
      <w:r w:rsidR="005363A9">
        <w:rPr>
          <w:rFonts w:cs="Times New Roman"/>
          <w:szCs w:val="20"/>
        </w:rPr>
        <w:t xml:space="preserve">studies of </w:t>
      </w:r>
      <w:r w:rsidR="008F254A" w:rsidRPr="008F254A">
        <w:rPr>
          <w:rFonts w:cs="Times New Roman"/>
          <w:szCs w:val="20"/>
        </w:rPr>
        <w:t>PC</w:t>
      </w:r>
      <w:r w:rsidR="005363A9">
        <w:rPr>
          <w:rFonts w:cs="Times New Roman"/>
          <w:szCs w:val="20"/>
        </w:rPr>
        <w:t>s</w:t>
      </w:r>
      <w:r w:rsidR="008F254A" w:rsidRPr="008F254A">
        <w:rPr>
          <w:rFonts w:cs="Times New Roman"/>
          <w:szCs w:val="20"/>
        </w:rPr>
        <w:t xml:space="preserve"> will become commonplace in music academies and departments. We believe that the </w:t>
      </w:r>
      <w:r w:rsidR="005363A9">
        <w:rPr>
          <w:rFonts w:cs="Times New Roman"/>
          <w:szCs w:val="20"/>
        </w:rPr>
        <w:t>reflection</w:t>
      </w:r>
      <w:r w:rsidR="008F254A" w:rsidRPr="008F254A">
        <w:rPr>
          <w:rFonts w:cs="Times New Roman"/>
          <w:szCs w:val="20"/>
        </w:rPr>
        <w:t xml:space="preserve"> </w:t>
      </w:r>
      <w:r w:rsidR="005363A9">
        <w:rPr>
          <w:rFonts w:cs="Times New Roman"/>
          <w:szCs w:val="20"/>
        </w:rPr>
        <w:t>required</w:t>
      </w:r>
      <w:r w:rsidR="005363A9" w:rsidRPr="008F254A">
        <w:rPr>
          <w:rFonts w:cs="Times New Roman"/>
          <w:szCs w:val="20"/>
        </w:rPr>
        <w:t xml:space="preserve"> </w:t>
      </w:r>
      <w:r w:rsidR="008F254A" w:rsidRPr="008F254A">
        <w:rPr>
          <w:rFonts w:cs="Times New Roman"/>
          <w:szCs w:val="20"/>
        </w:rPr>
        <w:t xml:space="preserve">provides musicians with insight into their own learning and memorization. All of the musicians who have participated in </w:t>
      </w:r>
      <w:r w:rsidR="00457300">
        <w:rPr>
          <w:rFonts w:cs="Times New Roman"/>
          <w:szCs w:val="20"/>
        </w:rPr>
        <w:t>our</w:t>
      </w:r>
      <w:r w:rsidR="00457300" w:rsidRPr="008F254A">
        <w:rPr>
          <w:rFonts w:cs="Times New Roman"/>
          <w:szCs w:val="20"/>
        </w:rPr>
        <w:t xml:space="preserve"> </w:t>
      </w:r>
      <w:r w:rsidR="008F254A" w:rsidRPr="008F254A">
        <w:rPr>
          <w:rFonts w:cs="Times New Roman"/>
          <w:szCs w:val="20"/>
        </w:rPr>
        <w:t xml:space="preserve">longitudinal case studies </w:t>
      </w:r>
      <w:r w:rsidR="00457300">
        <w:rPr>
          <w:rFonts w:cs="Times New Roman"/>
          <w:szCs w:val="20"/>
        </w:rPr>
        <w:t>have</w:t>
      </w:r>
      <w:r w:rsidR="008F254A" w:rsidRPr="008F254A">
        <w:rPr>
          <w:rFonts w:cs="Times New Roman"/>
          <w:szCs w:val="20"/>
        </w:rPr>
        <w:t xml:space="preserve"> found the process to be beneficial (Chaffin et al., 2002, pp 266-268; Chaffin et al., 2009).  In addition, we expect </w:t>
      </w:r>
      <w:r w:rsidR="005363A9">
        <w:rPr>
          <w:rFonts w:cs="Times New Roman"/>
          <w:szCs w:val="20"/>
        </w:rPr>
        <w:t>that such studies will</w:t>
      </w:r>
      <w:r w:rsidR="008F254A" w:rsidRPr="008F254A">
        <w:rPr>
          <w:rFonts w:cs="Times New Roman"/>
          <w:szCs w:val="20"/>
        </w:rPr>
        <w:t xml:space="preserve"> </w:t>
      </w:r>
      <w:r w:rsidR="00B42F36">
        <w:rPr>
          <w:rFonts w:cs="Times New Roman"/>
          <w:szCs w:val="20"/>
        </w:rPr>
        <w:t xml:space="preserve">contribute to </w:t>
      </w:r>
      <w:r w:rsidR="005363A9">
        <w:rPr>
          <w:rFonts w:cs="Times New Roman"/>
          <w:szCs w:val="20"/>
        </w:rPr>
        <w:t xml:space="preserve">improved pedagogy and to </w:t>
      </w:r>
      <w:r w:rsidR="00B42F36">
        <w:rPr>
          <w:rFonts w:cs="Times New Roman"/>
          <w:szCs w:val="20"/>
        </w:rPr>
        <w:t xml:space="preserve">a better understanding of how controlled and automatic </w:t>
      </w:r>
      <w:r w:rsidR="005363A9">
        <w:rPr>
          <w:rFonts w:cs="Times New Roman"/>
          <w:szCs w:val="20"/>
        </w:rPr>
        <w:t xml:space="preserve">mental </w:t>
      </w:r>
      <w:r w:rsidR="00B42F36">
        <w:rPr>
          <w:rFonts w:cs="Times New Roman"/>
          <w:szCs w:val="20"/>
        </w:rPr>
        <w:t>processes are integrated in highly skilled performance</w:t>
      </w:r>
      <w:r w:rsidR="00B42F36" w:rsidRPr="008F254A">
        <w:rPr>
          <w:rFonts w:cs="Times New Roman"/>
          <w:szCs w:val="20"/>
        </w:rPr>
        <w:t>.</w:t>
      </w:r>
    </w:p>
    <w:p w:rsidR="008F254A" w:rsidRPr="008F254A" w:rsidRDefault="008F254A" w:rsidP="008F254A">
      <w:pPr>
        <w:pStyle w:val="ICOMCSHead1"/>
        <w:tabs>
          <w:tab w:val="num" w:pos="454"/>
        </w:tabs>
        <w:ind w:left="461" w:hanging="461"/>
        <w:rPr>
          <w:rFonts w:cs="Times New Roman"/>
          <w:szCs w:val="20"/>
        </w:rPr>
      </w:pPr>
      <w:r w:rsidRPr="008F254A">
        <w:rPr>
          <w:rFonts w:cs="Times New Roman"/>
          <w:szCs w:val="20"/>
        </w:rPr>
        <w:t>acknowledgements</w:t>
      </w:r>
    </w:p>
    <w:p w:rsidR="008F254A" w:rsidRPr="00810145" w:rsidRDefault="008F254A" w:rsidP="008F254A">
      <w:pPr>
        <w:pStyle w:val="Body"/>
        <w:spacing w:line="219" w:lineRule="exact"/>
        <w:rPr>
          <w:rFonts w:cs="Times New Roman"/>
          <w:szCs w:val="20"/>
        </w:rPr>
      </w:pPr>
      <w:r w:rsidRPr="00810145">
        <w:rPr>
          <w:rFonts w:cs="Times New Roman"/>
          <w:szCs w:val="20"/>
        </w:rPr>
        <w:t>Thanks to Alexandra Paberty Clarke and Kristen Begosh for contributing data for the grade school student and trumpeter respectively.</w:t>
      </w:r>
    </w:p>
    <w:p w:rsidR="0048655C" w:rsidRPr="00787929" w:rsidRDefault="008F254A">
      <w:pPr>
        <w:pStyle w:val="ICOMCSHead1"/>
        <w:tabs>
          <w:tab w:val="num" w:pos="454"/>
        </w:tabs>
        <w:ind w:left="461" w:hanging="461"/>
        <w:rPr>
          <w:rFonts w:cs="Times New Roman"/>
        </w:rPr>
      </w:pPr>
      <w:r w:rsidRPr="00787929">
        <w:rPr>
          <w:rFonts w:cs="Times New Roman"/>
        </w:rPr>
        <w:t>REFERENCES</w:t>
      </w:r>
    </w:p>
    <w:p w:rsidR="008F254A" w:rsidRPr="00810145" w:rsidRDefault="008F254A" w:rsidP="008F254A">
      <w:pPr>
        <w:pStyle w:val="References"/>
        <w:spacing w:before="140" w:line="219" w:lineRule="exact"/>
        <w:rPr>
          <w:rFonts w:ascii="Times New Roman" w:hAnsi="Times New Roman"/>
          <w:sz w:val="18"/>
          <w:szCs w:val="20"/>
          <w:lang w:val="en-US"/>
        </w:rPr>
      </w:pPr>
      <w:r w:rsidRPr="00810145">
        <w:rPr>
          <w:rFonts w:ascii="Times New Roman" w:hAnsi="Times New Roman"/>
          <w:sz w:val="18"/>
          <w:szCs w:val="20"/>
          <w:lang w:val="en-US"/>
        </w:rPr>
        <w:t xml:space="preserve">Chaffin, R., Lisboa, T., Logan, T., and Begosh, K.T. (2009). Preparing for Memorized Cello Performance: The Role of Performance Cues. </w:t>
      </w:r>
      <w:r w:rsidRPr="00810145">
        <w:rPr>
          <w:rFonts w:ascii="Times New Roman" w:hAnsi="Times New Roman"/>
          <w:i/>
          <w:iCs/>
          <w:sz w:val="18"/>
          <w:szCs w:val="20"/>
          <w:lang w:val="en-US"/>
        </w:rPr>
        <w:t>Music Psychology</w:t>
      </w:r>
      <w:r w:rsidRPr="00810145">
        <w:rPr>
          <w:rFonts w:ascii="Times New Roman" w:hAnsi="Times New Roman"/>
          <w:sz w:val="18"/>
          <w:szCs w:val="20"/>
          <w:lang w:val="en-US"/>
        </w:rPr>
        <w:t xml:space="preserve">, in press. </w:t>
      </w:r>
    </w:p>
    <w:p w:rsidR="008F254A" w:rsidRPr="00810145" w:rsidRDefault="008F254A" w:rsidP="008F254A">
      <w:pPr>
        <w:pStyle w:val="References"/>
        <w:spacing w:before="140" w:line="219" w:lineRule="exact"/>
        <w:rPr>
          <w:rFonts w:ascii="Times New Roman" w:hAnsi="Times New Roman"/>
          <w:sz w:val="18"/>
          <w:szCs w:val="20"/>
          <w:lang w:val="en-US"/>
        </w:rPr>
      </w:pPr>
      <w:r w:rsidRPr="00810145">
        <w:rPr>
          <w:rFonts w:ascii="Times New Roman" w:hAnsi="Times New Roman"/>
          <w:sz w:val="18"/>
          <w:szCs w:val="20"/>
          <w:lang w:val="en-US"/>
        </w:rPr>
        <w:t>Chaffin, R., Imreh, G., and Crawford, M. (2002</w:t>
      </w:r>
      <w:r w:rsidRPr="00810145">
        <w:rPr>
          <w:rFonts w:ascii="Times New Roman" w:hAnsi="Times New Roman"/>
          <w:i/>
          <w:sz w:val="18"/>
          <w:szCs w:val="20"/>
          <w:lang w:val="en-US"/>
        </w:rPr>
        <w:t>). Practicing perfection: Memory and piano performance.</w:t>
      </w:r>
      <w:r w:rsidRPr="00810145">
        <w:rPr>
          <w:rFonts w:ascii="Times New Roman" w:hAnsi="Times New Roman"/>
          <w:sz w:val="18"/>
          <w:szCs w:val="20"/>
          <w:lang w:val="en-US"/>
        </w:rPr>
        <w:t xml:space="preserve"> Mahwah, NJ: Erlbaum Associates.</w:t>
      </w:r>
    </w:p>
    <w:p w:rsidR="008F254A" w:rsidRPr="00810145" w:rsidRDefault="008F254A" w:rsidP="008F254A">
      <w:pPr>
        <w:pStyle w:val="References"/>
        <w:spacing w:before="140" w:line="219" w:lineRule="exact"/>
        <w:rPr>
          <w:rFonts w:ascii="Times New Roman" w:hAnsi="Times New Roman"/>
          <w:sz w:val="18"/>
          <w:szCs w:val="20"/>
          <w:lang w:val="en-US"/>
        </w:rPr>
      </w:pPr>
      <w:r w:rsidRPr="00810145">
        <w:rPr>
          <w:rFonts w:ascii="Times New Roman" w:hAnsi="Times New Roman"/>
          <w:sz w:val="18"/>
          <w:szCs w:val="20"/>
          <w:lang w:val="en-US"/>
        </w:rPr>
        <w:t xml:space="preserve">Chaffin, R. (2007). Learning Clair de Lune: Retrieval practice and expert memorization. </w:t>
      </w:r>
      <w:r w:rsidRPr="00810145">
        <w:rPr>
          <w:rFonts w:ascii="Times New Roman" w:hAnsi="Times New Roman"/>
          <w:i/>
          <w:sz w:val="18"/>
          <w:szCs w:val="20"/>
          <w:lang w:val="en-US"/>
        </w:rPr>
        <w:t>Music Perception, 24</w:t>
      </w:r>
      <w:r w:rsidRPr="00810145">
        <w:rPr>
          <w:rFonts w:ascii="Times New Roman" w:hAnsi="Times New Roman"/>
          <w:sz w:val="18"/>
          <w:szCs w:val="20"/>
          <w:lang w:val="en-US"/>
        </w:rPr>
        <w:t xml:space="preserve">, 377-393. </w:t>
      </w:r>
    </w:p>
    <w:p w:rsidR="00CD75B4" w:rsidRPr="00311650" w:rsidRDefault="00311650" w:rsidP="009A4A5C">
      <w:pPr>
        <w:spacing w:before="140" w:after="0" w:line="219" w:lineRule="exact"/>
        <w:ind w:left="288" w:hanging="288"/>
        <w:jc w:val="both"/>
        <w:rPr>
          <w:rFonts w:ascii="Times New Roman" w:hAnsi="Times New Roman" w:cs="Times New Roman"/>
          <w:sz w:val="18"/>
          <w:szCs w:val="18"/>
        </w:rPr>
      </w:pPr>
      <w:r w:rsidRPr="00311650">
        <w:rPr>
          <w:rFonts w:ascii="Times New Roman" w:hAnsi="Times New Roman" w:cs="Times New Roman"/>
          <w:sz w:val="18"/>
          <w:szCs w:val="18"/>
        </w:rPr>
        <w:t xml:space="preserve">Cohen, Jacob (1960), A coefficient of agreement for nominal scales, </w:t>
      </w:r>
      <w:r w:rsidRPr="00311650">
        <w:rPr>
          <w:rFonts w:ascii="Times New Roman" w:hAnsi="Times New Roman" w:cs="Times New Roman"/>
          <w:i/>
          <w:iCs/>
          <w:sz w:val="18"/>
          <w:szCs w:val="18"/>
        </w:rPr>
        <w:t>Educational and Psychological Measurement</w:t>
      </w:r>
      <w:r w:rsidRPr="00311650">
        <w:rPr>
          <w:rFonts w:ascii="Times New Roman" w:hAnsi="Times New Roman" w:cs="Times New Roman"/>
          <w:sz w:val="18"/>
          <w:szCs w:val="18"/>
        </w:rPr>
        <w:t xml:space="preserve"> Vol.20, No.1, pp.37–46.</w:t>
      </w:r>
    </w:p>
    <w:p w:rsidR="00A300F4" w:rsidRDefault="008F254A" w:rsidP="009A4A5C">
      <w:pPr>
        <w:spacing w:before="140" w:after="0" w:line="219" w:lineRule="exact"/>
        <w:ind w:left="288" w:hanging="288"/>
        <w:jc w:val="both"/>
        <w:rPr>
          <w:rFonts w:ascii="Times New Roman" w:hAnsi="Times New Roman" w:cs="Times New Roman"/>
          <w:sz w:val="18"/>
          <w:szCs w:val="20"/>
        </w:rPr>
      </w:pPr>
      <w:r w:rsidRPr="00810145">
        <w:rPr>
          <w:rFonts w:ascii="Times New Roman" w:hAnsi="Times New Roman" w:cs="Times New Roman"/>
          <w:sz w:val="18"/>
          <w:szCs w:val="20"/>
        </w:rPr>
        <w:t xml:space="preserve">Ginsborg, J., Chaffin, R., Nicholson, G. (2006). Shared performance cues in singing and conducting: A content analysis of talk during practice. </w:t>
      </w:r>
      <w:r w:rsidRPr="00810145">
        <w:rPr>
          <w:rFonts w:ascii="Times New Roman" w:hAnsi="Times New Roman" w:cs="Times New Roman"/>
          <w:i/>
          <w:sz w:val="18"/>
          <w:szCs w:val="20"/>
        </w:rPr>
        <w:t>Music Psychology, 34</w:t>
      </w:r>
      <w:r w:rsidRPr="00810145">
        <w:rPr>
          <w:rFonts w:ascii="Times New Roman" w:hAnsi="Times New Roman" w:cs="Times New Roman"/>
          <w:sz w:val="18"/>
          <w:szCs w:val="20"/>
        </w:rPr>
        <w:t>, 167-194.</w:t>
      </w:r>
    </w:p>
    <w:p w:rsidR="00A300F4" w:rsidRDefault="00A300F4" w:rsidP="00A300F4">
      <w:pPr>
        <w:spacing w:before="140" w:after="0" w:line="219" w:lineRule="exact"/>
        <w:jc w:val="both"/>
        <w:rPr>
          <w:rFonts w:ascii="Times New Roman" w:hAnsi="Times New Roman" w:cs="Times New Roman"/>
          <w:sz w:val="18"/>
          <w:szCs w:val="20"/>
        </w:rPr>
        <w:sectPr w:rsidR="00A300F4" w:rsidSect="00295860">
          <w:type w:val="continuous"/>
          <w:pgSz w:w="11901" w:h="16840" w:code="9"/>
          <w:pgMar w:top="1247" w:right="1588" w:bottom="1151" w:left="1582" w:header="709" w:footer="709" w:gutter="0"/>
          <w:cols w:num="2" w:space="288"/>
          <w:noEndnote/>
          <w:docGrid w:linePitch="360"/>
        </w:sectPr>
      </w:pPr>
    </w:p>
    <w:p w:rsidR="00A300F4" w:rsidRPr="008F254A" w:rsidRDefault="00A300F4" w:rsidP="003E4DB4">
      <w:pPr>
        <w:pStyle w:val="Body"/>
        <w:spacing w:line="219" w:lineRule="exact"/>
        <w:jc w:val="center"/>
        <w:rPr>
          <w:rFonts w:cs="Times New Roman"/>
          <w:sz w:val="20"/>
          <w:szCs w:val="20"/>
        </w:rPr>
      </w:pPr>
    </w:p>
    <w:sectPr w:rsidR="00A300F4" w:rsidRPr="008F254A" w:rsidSect="00A300F4">
      <w:type w:val="continuous"/>
      <w:pgSz w:w="11901" w:h="16840" w:code="9"/>
      <w:pgMar w:top="1247" w:right="1588" w:bottom="1151" w:left="1582" w:header="709" w:footer="709" w:gutter="0"/>
      <w:cols w:space="28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D88" w:rsidRDefault="009B7D88" w:rsidP="008F254A">
      <w:pPr>
        <w:spacing w:after="0" w:line="240" w:lineRule="auto"/>
      </w:pPr>
      <w:r>
        <w:separator/>
      </w:r>
    </w:p>
  </w:endnote>
  <w:endnote w:type="continuationSeparator" w:id="1">
    <w:p w:rsidR="009B7D88" w:rsidRDefault="009B7D88" w:rsidP="008F2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D88" w:rsidRDefault="009B7D88" w:rsidP="008F254A">
      <w:pPr>
        <w:spacing w:after="0" w:line="240" w:lineRule="auto"/>
      </w:pPr>
      <w:r>
        <w:separator/>
      </w:r>
    </w:p>
  </w:footnote>
  <w:footnote w:type="continuationSeparator" w:id="1">
    <w:p w:rsidR="009B7D88" w:rsidRDefault="009B7D88" w:rsidP="008F2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38" w:rsidRPr="008F254A" w:rsidRDefault="007353FA" w:rsidP="008F254A">
    <w:pPr>
      <w:spacing w:after="0" w:line="240" w:lineRule="auto"/>
      <w:jc w:val="center"/>
      <w:rPr>
        <w:rFonts w:ascii="Times New Roman" w:hAnsi="Times New Roman" w:cs="Times New Roman"/>
        <w:sz w:val="18"/>
        <w:szCs w:val="18"/>
      </w:rPr>
    </w:pPr>
    <w:r w:rsidRPr="008F254A">
      <w:rPr>
        <w:rFonts w:ascii="Times New Roman" w:hAnsi="Times New Roman" w:cs="Times New Roman"/>
        <w:sz w:val="18"/>
        <w:szCs w:val="18"/>
      </w:rPr>
      <w:t>The Second International Conference on</w:t>
    </w:r>
    <w:r w:rsidRPr="008F254A">
      <w:rPr>
        <w:rFonts w:ascii="Times New Roman" w:hAnsi="Times New Roman" w:cs="Times New Roman"/>
        <w:sz w:val="18"/>
        <w:szCs w:val="18"/>
        <w:vertAlign w:val="superscript"/>
      </w:rPr>
      <w:t xml:space="preserve"> </w:t>
    </w:r>
    <w:r w:rsidRPr="008F254A">
      <w:rPr>
        <w:rFonts w:ascii="Times New Roman" w:hAnsi="Times New Roman" w:cs="Times New Roman"/>
        <w:sz w:val="18"/>
        <w:szCs w:val="18"/>
      </w:rPr>
      <w:t xml:space="preserve">Music Communication Science, 3-4 December </w:t>
    </w:r>
    <w:r w:rsidRPr="008F254A">
      <w:rPr>
        <w:rFonts w:ascii="Times New Roman" w:hAnsi="Times New Roman" w:cs="Times New Roman"/>
        <w:sz w:val="18"/>
        <w:szCs w:val="18"/>
        <w:vertAlign w:val="superscript"/>
      </w:rPr>
      <w:t xml:space="preserve"> </w:t>
    </w:r>
    <w:r w:rsidRPr="008F254A">
      <w:rPr>
        <w:rFonts w:ascii="Times New Roman" w:hAnsi="Times New Roman" w:cs="Times New Roman"/>
        <w:sz w:val="18"/>
        <w:szCs w:val="18"/>
      </w:rPr>
      <w:t>2009, Sydney, Australia</w:t>
    </w:r>
  </w:p>
  <w:p w:rsidR="00344E38" w:rsidRPr="008F254A" w:rsidRDefault="00BD7681" w:rsidP="008F254A">
    <w:pPr>
      <w:spacing w:after="0" w:line="240" w:lineRule="auto"/>
      <w:jc w:val="center"/>
      <w:rPr>
        <w:rFonts w:ascii="Times New Roman" w:hAnsi="Times New Roman" w:cs="Times New Roman"/>
        <w:sz w:val="18"/>
        <w:szCs w:val="18"/>
      </w:rPr>
    </w:pPr>
    <w:hyperlink r:id="rId1" w:history="1">
      <w:r w:rsidR="007353FA" w:rsidRPr="008F254A">
        <w:rPr>
          <w:rStyle w:val="Hyperlink"/>
          <w:rFonts w:ascii="Times New Roman" w:hAnsi="Times New Roman"/>
          <w:sz w:val="18"/>
          <w:szCs w:val="18"/>
        </w:rPr>
        <w:t>http://marcs.uws.edu.au/links/ICoMusic09/index.html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B13A8"/>
    <w:multiLevelType w:val="multilevel"/>
    <w:tmpl w:val="DA185918"/>
    <w:lvl w:ilvl="0">
      <w:start w:val="1"/>
      <w:numFmt w:val="decimal"/>
      <w:pStyle w:val="ICOMCSHead1"/>
      <w:lvlText w:val="%1."/>
      <w:lvlJc w:val="left"/>
      <w:pPr>
        <w:tabs>
          <w:tab w:val="num" w:pos="634"/>
        </w:tabs>
        <w:ind w:left="634" w:hanging="454"/>
      </w:pPr>
      <w:rPr>
        <w:rFonts w:ascii="Times New Roman" w:hAnsi="Times New Roman" w:cs="Times New Roman" w:hint="default"/>
        <w:b/>
        <w:i w:val="0"/>
        <w:caps w:val="0"/>
        <w:smallCaps w:val="0"/>
        <w:strike w:val="0"/>
        <w:dstrike w:val="0"/>
        <w:outline w:val="0"/>
        <w:shadow w:val="0"/>
        <w:emboss w:val="0"/>
        <w:imprint w:val="0"/>
        <w:vanish w:val="0"/>
        <w:color w:val="000000"/>
        <w:spacing w:val="0"/>
        <w:kern w:val="0"/>
        <w:position w:val="0"/>
        <w:sz w:val="24"/>
        <w:u w:val="none"/>
        <w:vertAlign w:val="baseline"/>
      </w:rPr>
    </w:lvl>
    <w:lvl w:ilvl="1">
      <w:start w:val="1"/>
      <w:numFmt w:val="decimal"/>
      <w:lvlText w:val="%1.%2"/>
      <w:lvlJc w:val="left"/>
      <w:pPr>
        <w:tabs>
          <w:tab w:val="num" w:pos="576"/>
        </w:tabs>
        <w:ind w:left="576" w:hanging="576"/>
      </w:pPr>
      <w:rPr>
        <w:rFonts w:ascii="Times" w:hAnsi="Times" w:cs="Times New Roman" w:hint="default"/>
        <w:b/>
        <w:i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dgnword-docGUID" w:val="橄怤ⵘࡁɩ찔惷"/>
    <w:docVar w:name="dgnword-eventsink" w:val="橄怤ⵘࡁɩ찔惷Èﯠˣ뭠ˣ賐 ﯠˣќ৶Ḁ鑤崺"/>
  </w:docVars>
  <w:rsids>
    <w:rsidRoot w:val="008F254A"/>
    <w:rsid w:val="0000302B"/>
    <w:rsid w:val="0000375D"/>
    <w:rsid w:val="000054DE"/>
    <w:rsid w:val="00006B76"/>
    <w:rsid w:val="00010B3B"/>
    <w:rsid w:val="00010C21"/>
    <w:rsid w:val="00011577"/>
    <w:rsid w:val="00012F7F"/>
    <w:rsid w:val="00013304"/>
    <w:rsid w:val="00014AF4"/>
    <w:rsid w:val="00015299"/>
    <w:rsid w:val="00022FEA"/>
    <w:rsid w:val="00024401"/>
    <w:rsid w:val="00027681"/>
    <w:rsid w:val="000309B8"/>
    <w:rsid w:val="0003110A"/>
    <w:rsid w:val="000316AC"/>
    <w:rsid w:val="00032F9C"/>
    <w:rsid w:val="00035C4C"/>
    <w:rsid w:val="00036E6F"/>
    <w:rsid w:val="00037FEE"/>
    <w:rsid w:val="0004436E"/>
    <w:rsid w:val="000477A3"/>
    <w:rsid w:val="00050938"/>
    <w:rsid w:val="00061EDA"/>
    <w:rsid w:val="00062F46"/>
    <w:rsid w:val="00064C76"/>
    <w:rsid w:val="00067823"/>
    <w:rsid w:val="00067DED"/>
    <w:rsid w:val="000735C2"/>
    <w:rsid w:val="00075133"/>
    <w:rsid w:val="00076360"/>
    <w:rsid w:val="0008087A"/>
    <w:rsid w:val="00082206"/>
    <w:rsid w:val="0008337B"/>
    <w:rsid w:val="0008405D"/>
    <w:rsid w:val="000915E8"/>
    <w:rsid w:val="0009181E"/>
    <w:rsid w:val="00092D38"/>
    <w:rsid w:val="00094B9F"/>
    <w:rsid w:val="00095C01"/>
    <w:rsid w:val="000960EF"/>
    <w:rsid w:val="00096A2C"/>
    <w:rsid w:val="000A13F5"/>
    <w:rsid w:val="000A3AE8"/>
    <w:rsid w:val="000A53CB"/>
    <w:rsid w:val="000B0922"/>
    <w:rsid w:val="000B1C4B"/>
    <w:rsid w:val="000B31AF"/>
    <w:rsid w:val="000B337C"/>
    <w:rsid w:val="000B3A61"/>
    <w:rsid w:val="000B589A"/>
    <w:rsid w:val="000B7077"/>
    <w:rsid w:val="000B7BF6"/>
    <w:rsid w:val="000C0001"/>
    <w:rsid w:val="000C0D62"/>
    <w:rsid w:val="000C0E35"/>
    <w:rsid w:val="000C250F"/>
    <w:rsid w:val="000C4885"/>
    <w:rsid w:val="000D3C13"/>
    <w:rsid w:val="000D4559"/>
    <w:rsid w:val="000D48FC"/>
    <w:rsid w:val="000E03F1"/>
    <w:rsid w:val="000E0D3F"/>
    <w:rsid w:val="000E60E4"/>
    <w:rsid w:val="000E634B"/>
    <w:rsid w:val="000E698B"/>
    <w:rsid w:val="000E78D5"/>
    <w:rsid w:val="000F053E"/>
    <w:rsid w:val="000F0C4D"/>
    <w:rsid w:val="000F5FC5"/>
    <w:rsid w:val="000F6F68"/>
    <w:rsid w:val="001012F6"/>
    <w:rsid w:val="00101922"/>
    <w:rsid w:val="00101956"/>
    <w:rsid w:val="00102AFA"/>
    <w:rsid w:val="0010404D"/>
    <w:rsid w:val="00111155"/>
    <w:rsid w:val="00113D24"/>
    <w:rsid w:val="001225CF"/>
    <w:rsid w:val="00123C8A"/>
    <w:rsid w:val="00123DF8"/>
    <w:rsid w:val="00124E11"/>
    <w:rsid w:val="00127AAB"/>
    <w:rsid w:val="001309C0"/>
    <w:rsid w:val="001316C5"/>
    <w:rsid w:val="00132A13"/>
    <w:rsid w:val="00133B15"/>
    <w:rsid w:val="00133E14"/>
    <w:rsid w:val="00134328"/>
    <w:rsid w:val="00135553"/>
    <w:rsid w:val="00136F7D"/>
    <w:rsid w:val="001414ED"/>
    <w:rsid w:val="00144367"/>
    <w:rsid w:val="00147434"/>
    <w:rsid w:val="00151893"/>
    <w:rsid w:val="001538D0"/>
    <w:rsid w:val="001545CC"/>
    <w:rsid w:val="00154C80"/>
    <w:rsid w:val="0015587F"/>
    <w:rsid w:val="0015634E"/>
    <w:rsid w:val="001579E8"/>
    <w:rsid w:val="001604CF"/>
    <w:rsid w:val="001629CF"/>
    <w:rsid w:val="001629FF"/>
    <w:rsid w:val="00164D67"/>
    <w:rsid w:val="001658DA"/>
    <w:rsid w:val="0016592F"/>
    <w:rsid w:val="001662FA"/>
    <w:rsid w:val="00167B34"/>
    <w:rsid w:val="001734C8"/>
    <w:rsid w:val="001734CD"/>
    <w:rsid w:val="00176F38"/>
    <w:rsid w:val="00177BBD"/>
    <w:rsid w:val="001821E3"/>
    <w:rsid w:val="00182200"/>
    <w:rsid w:val="00182381"/>
    <w:rsid w:val="00183DD6"/>
    <w:rsid w:val="0018683B"/>
    <w:rsid w:val="00195C6F"/>
    <w:rsid w:val="001960E7"/>
    <w:rsid w:val="00197C7F"/>
    <w:rsid w:val="001A1BBE"/>
    <w:rsid w:val="001A2095"/>
    <w:rsid w:val="001A5185"/>
    <w:rsid w:val="001A7C43"/>
    <w:rsid w:val="001B0A8E"/>
    <w:rsid w:val="001B1959"/>
    <w:rsid w:val="001B1DD8"/>
    <w:rsid w:val="001B5442"/>
    <w:rsid w:val="001B5B85"/>
    <w:rsid w:val="001B6DBC"/>
    <w:rsid w:val="001C033F"/>
    <w:rsid w:val="001C246C"/>
    <w:rsid w:val="001C31EA"/>
    <w:rsid w:val="001C3D6A"/>
    <w:rsid w:val="001C5191"/>
    <w:rsid w:val="001D4484"/>
    <w:rsid w:val="001E054D"/>
    <w:rsid w:val="001E221E"/>
    <w:rsid w:val="001E312B"/>
    <w:rsid w:val="001E3953"/>
    <w:rsid w:val="001E4F8A"/>
    <w:rsid w:val="001F10A1"/>
    <w:rsid w:val="001F6398"/>
    <w:rsid w:val="001F6792"/>
    <w:rsid w:val="00203C6A"/>
    <w:rsid w:val="00203D79"/>
    <w:rsid w:val="00204748"/>
    <w:rsid w:val="00205426"/>
    <w:rsid w:val="0020762A"/>
    <w:rsid w:val="00210141"/>
    <w:rsid w:val="00213307"/>
    <w:rsid w:val="00216AF5"/>
    <w:rsid w:val="00217F92"/>
    <w:rsid w:val="00225B40"/>
    <w:rsid w:val="00225EAE"/>
    <w:rsid w:val="00226B29"/>
    <w:rsid w:val="0023320F"/>
    <w:rsid w:val="002372CF"/>
    <w:rsid w:val="0024058C"/>
    <w:rsid w:val="00244F7A"/>
    <w:rsid w:val="0024531A"/>
    <w:rsid w:val="00245396"/>
    <w:rsid w:val="00247082"/>
    <w:rsid w:val="002479E9"/>
    <w:rsid w:val="00250096"/>
    <w:rsid w:val="00253A30"/>
    <w:rsid w:val="002723C5"/>
    <w:rsid w:val="00275EBF"/>
    <w:rsid w:val="002839F0"/>
    <w:rsid w:val="002843C4"/>
    <w:rsid w:val="00285D3E"/>
    <w:rsid w:val="0028604B"/>
    <w:rsid w:val="002877F8"/>
    <w:rsid w:val="00290547"/>
    <w:rsid w:val="00294517"/>
    <w:rsid w:val="00295860"/>
    <w:rsid w:val="002A1995"/>
    <w:rsid w:val="002A36AC"/>
    <w:rsid w:val="002A4C47"/>
    <w:rsid w:val="002A61AE"/>
    <w:rsid w:val="002A6D38"/>
    <w:rsid w:val="002A7FD6"/>
    <w:rsid w:val="002B2B9E"/>
    <w:rsid w:val="002B5511"/>
    <w:rsid w:val="002B6BF5"/>
    <w:rsid w:val="002C19DF"/>
    <w:rsid w:val="002C39D2"/>
    <w:rsid w:val="002C717C"/>
    <w:rsid w:val="002D13AE"/>
    <w:rsid w:val="002D1E1A"/>
    <w:rsid w:val="002D4244"/>
    <w:rsid w:val="002D42B1"/>
    <w:rsid w:val="002D5315"/>
    <w:rsid w:val="002E6ABA"/>
    <w:rsid w:val="002F23BA"/>
    <w:rsid w:val="002F32BE"/>
    <w:rsid w:val="002F4706"/>
    <w:rsid w:val="002F69A4"/>
    <w:rsid w:val="003001A9"/>
    <w:rsid w:val="00300BBE"/>
    <w:rsid w:val="00303187"/>
    <w:rsid w:val="0030501D"/>
    <w:rsid w:val="00307A53"/>
    <w:rsid w:val="00307B13"/>
    <w:rsid w:val="00310AEE"/>
    <w:rsid w:val="00311650"/>
    <w:rsid w:val="0031238B"/>
    <w:rsid w:val="003147E5"/>
    <w:rsid w:val="00320FC5"/>
    <w:rsid w:val="00322D13"/>
    <w:rsid w:val="00322DB3"/>
    <w:rsid w:val="00323601"/>
    <w:rsid w:val="00331902"/>
    <w:rsid w:val="0033306F"/>
    <w:rsid w:val="003366DD"/>
    <w:rsid w:val="00337EC3"/>
    <w:rsid w:val="0034361D"/>
    <w:rsid w:val="0034389D"/>
    <w:rsid w:val="00343F73"/>
    <w:rsid w:val="003464C9"/>
    <w:rsid w:val="0034675B"/>
    <w:rsid w:val="00347B42"/>
    <w:rsid w:val="003515D1"/>
    <w:rsid w:val="003543AD"/>
    <w:rsid w:val="00354DE9"/>
    <w:rsid w:val="003561B1"/>
    <w:rsid w:val="003563F8"/>
    <w:rsid w:val="00356667"/>
    <w:rsid w:val="00356A39"/>
    <w:rsid w:val="003634AE"/>
    <w:rsid w:val="00365F53"/>
    <w:rsid w:val="00370E04"/>
    <w:rsid w:val="003729D3"/>
    <w:rsid w:val="00372DCF"/>
    <w:rsid w:val="00373978"/>
    <w:rsid w:val="003742F7"/>
    <w:rsid w:val="003809D1"/>
    <w:rsid w:val="003815AA"/>
    <w:rsid w:val="00382537"/>
    <w:rsid w:val="00387C1E"/>
    <w:rsid w:val="00391764"/>
    <w:rsid w:val="003952BD"/>
    <w:rsid w:val="003969D8"/>
    <w:rsid w:val="003A228C"/>
    <w:rsid w:val="003A24E9"/>
    <w:rsid w:val="003A331C"/>
    <w:rsid w:val="003A7A6A"/>
    <w:rsid w:val="003B0512"/>
    <w:rsid w:val="003B2254"/>
    <w:rsid w:val="003B3225"/>
    <w:rsid w:val="003B5105"/>
    <w:rsid w:val="003B6788"/>
    <w:rsid w:val="003B6EC3"/>
    <w:rsid w:val="003C0769"/>
    <w:rsid w:val="003C2647"/>
    <w:rsid w:val="003C4609"/>
    <w:rsid w:val="003C4A0F"/>
    <w:rsid w:val="003C5EA9"/>
    <w:rsid w:val="003C7980"/>
    <w:rsid w:val="003D04CF"/>
    <w:rsid w:val="003D1D3F"/>
    <w:rsid w:val="003D1D9C"/>
    <w:rsid w:val="003D3529"/>
    <w:rsid w:val="003D3869"/>
    <w:rsid w:val="003D523C"/>
    <w:rsid w:val="003D6C32"/>
    <w:rsid w:val="003D7181"/>
    <w:rsid w:val="003E39EF"/>
    <w:rsid w:val="003E4DB4"/>
    <w:rsid w:val="003E7850"/>
    <w:rsid w:val="003F14D0"/>
    <w:rsid w:val="003F3AF8"/>
    <w:rsid w:val="003F3E0E"/>
    <w:rsid w:val="003F4520"/>
    <w:rsid w:val="003F4D21"/>
    <w:rsid w:val="003F7399"/>
    <w:rsid w:val="00404D08"/>
    <w:rsid w:val="00406BAF"/>
    <w:rsid w:val="00410971"/>
    <w:rsid w:val="00410EBD"/>
    <w:rsid w:val="00411643"/>
    <w:rsid w:val="00416D8E"/>
    <w:rsid w:val="00422C07"/>
    <w:rsid w:val="00426A7E"/>
    <w:rsid w:val="00430105"/>
    <w:rsid w:val="004301CA"/>
    <w:rsid w:val="00432E47"/>
    <w:rsid w:val="004350B4"/>
    <w:rsid w:val="004367B2"/>
    <w:rsid w:val="00442489"/>
    <w:rsid w:val="004424A8"/>
    <w:rsid w:val="004437C5"/>
    <w:rsid w:val="00444FE3"/>
    <w:rsid w:val="00451110"/>
    <w:rsid w:val="0045117F"/>
    <w:rsid w:val="0045212B"/>
    <w:rsid w:val="004553E1"/>
    <w:rsid w:val="00457300"/>
    <w:rsid w:val="00457B6E"/>
    <w:rsid w:val="004630FE"/>
    <w:rsid w:val="00464B89"/>
    <w:rsid w:val="00467178"/>
    <w:rsid w:val="00467D1C"/>
    <w:rsid w:val="00471329"/>
    <w:rsid w:val="004717CB"/>
    <w:rsid w:val="00473CC8"/>
    <w:rsid w:val="00475FB8"/>
    <w:rsid w:val="00480235"/>
    <w:rsid w:val="00480423"/>
    <w:rsid w:val="00480864"/>
    <w:rsid w:val="00482DD0"/>
    <w:rsid w:val="00483540"/>
    <w:rsid w:val="00483663"/>
    <w:rsid w:val="0048489B"/>
    <w:rsid w:val="0048655C"/>
    <w:rsid w:val="004917D6"/>
    <w:rsid w:val="00492FF6"/>
    <w:rsid w:val="0049629E"/>
    <w:rsid w:val="004966E4"/>
    <w:rsid w:val="004970B8"/>
    <w:rsid w:val="00497887"/>
    <w:rsid w:val="004A03AB"/>
    <w:rsid w:val="004A1FDD"/>
    <w:rsid w:val="004A3DA1"/>
    <w:rsid w:val="004A4729"/>
    <w:rsid w:val="004B081B"/>
    <w:rsid w:val="004B61EE"/>
    <w:rsid w:val="004C0206"/>
    <w:rsid w:val="004C12B9"/>
    <w:rsid w:val="004C1FA5"/>
    <w:rsid w:val="004C3A34"/>
    <w:rsid w:val="004C5C3A"/>
    <w:rsid w:val="004C6548"/>
    <w:rsid w:val="004D1CD2"/>
    <w:rsid w:val="004D1FA0"/>
    <w:rsid w:val="004D3076"/>
    <w:rsid w:val="004D415E"/>
    <w:rsid w:val="004D538C"/>
    <w:rsid w:val="004D7A96"/>
    <w:rsid w:val="004E00F7"/>
    <w:rsid w:val="004E055C"/>
    <w:rsid w:val="004E2AE6"/>
    <w:rsid w:val="004F139E"/>
    <w:rsid w:val="004F1A52"/>
    <w:rsid w:val="004F1AC0"/>
    <w:rsid w:val="004F36B3"/>
    <w:rsid w:val="0050456E"/>
    <w:rsid w:val="00505136"/>
    <w:rsid w:val="00505847"/>
    <w:rsid w:val="005100EE"/>
    <w:rsid w:val="00512399"/>
    <w:rsid w:val="0051624A"/>
    <w:rsid w:val="005234FF"/>
    <w:rsid w:val="00524477"/>
    <w:rsid w:val="005245D2"/>
    <w:rsid w:val="00525C9E"/>
    <w:rsid w:val="00534902"/>
    <w:rsid w:val="00536392"/>
    <w:rsid w:val="005363A9"/>
    <w:rsid w:val="005409B3"/>
    <w:rsid w:val="00540B12"/>
    <w:rsid w:val="00541664"/>
    <w:rsid w:val="0054520C"/>
    <w:rsid w:val="00545973"/>
    <w:rsid w:val="00551981"/>
    <w:rsid w:val="00552B98"/>
    <w:rsid w:val="00553700"/>
    <w:rsid w:val="005554F7"/>
    <w:rsid w:val="00560C75"/>
    <w:rsid w:val="00561AC1"/>
    <w:rsid w:val="005641EB"/>
    <w:rsid w:val="00564DE4"/>
    <w:rsid w:val="00565206"/>
    <w:rsid w:val="00565D14"/>
    <w:rsid w:val="005661B9"/>
    <w:rsid w:val="005671F3"/>
    <w:rsid w:val="005748C7"/>
    <w:rsid w:val="00575DE8"/>
    <w:rsid w:val="00582004"/>
    <w:rsid w:val="00584F9D"/>
    <w:rsid w:val="00585CFC"/>
    <w:rsid w:val="00586CAA"/>
    <w:rsid w:val="00591B6E"/>
    <w:rsid w:val="00593453"/>
    <w:rsid w:val="00595082"/>
    <w:rsid w:val="005A27D7"/>
    <w:rsid w:val="005A36B9"/>
    <w:rsid w:val="005A5F00"/>
    <w:rsid w:val="005B61CF"/>
    <w:rsid w:val="005B6850"/>
    <w:rsid w:val="005C0DA5"/>
    <w:rsid w:val="005C1A46"/>
    <w:rsid w:val="005C1E16"/>
    <w:rsid w:val="005C75A4"/>
    <w:rsid w:val="005D274F"/>
    <w:rsid w:val="005D4319"/>
    <w:rsid w:val="005D5EC2"/>
    <w:rsid w:val="005E10D9"/>
    <w:rsid w:val="005E68F6"/>
    <w:rsid w:val="005E6CC2"/>
    <w:rsid w:val="005F5DD6"/>
    <w:rsid w:val="00600A79"/>
    <w:rsid w:val="0060373F"/>
    <w:rsid w:val="006054C6"/>
    <w:rsid w:val="00606BA9"/>
    <w:rsid w:val="006078C8"/>
    <w:rsid w:val="00613260"/>
    <w:rsid w:val="00615035"/>
    <w:rsid w:val="006155E3"/>
    <w:rsid w:val="006174E2"/>
    <w:rsid w:val="0062106E"/>
    <w:rsid w:val="0062286B"/>
    <w:rsid w:val="006337C2"/>
    <w:rsid w:val="00640013"/>
    <w:rsid w:val="00642E5B"/>
    <w:rsid w:val="00643255"/>
    <w:rsid w:val="00643E80"/>
    <w:rsid w:val="006456EF"/>
    <w:rsid w:val="00646CC7"/>
    <w:rsid w:val="00650E63"/>
    <w:rsid w:val="006526EB"/>
    <w:rsid w:val="006536EF"/>
    <w:rsid w:val="00655B5A"/>
    <w:rsid w:val="00656DC6"/>
    <w:rsid w:val="00661C5D"/>
    <w:rsid w:val="0066487D"/>
    <w:rsid w:val="00665FFC"/>
    <w:rsid w:val="006710B7"/>
    <w:rsid w:val="006714F0"/>
    <w:rsid w:val="00671967"/>
    <w:rsid w:val="006740B3"/>
    <w:rsid w:val="0067447D"/>
    <w:rsid w:val="00674D30"/>
    <w:rsid w:val="0067508F"/>
    <w:rsid w:val="00675D0C"/>
    <w:rsid w:val="006844F0"/>
    <w:rsid w:val="00685247"/>
    <w:rsid w:val="006859FA"/>
    <w:rsid w:val="00685F7D"/>
    <w:rsid w:val="00690DD3"/>
    <w:rsid w:val="00692578"/>
    <w:rsid w:val="006950C4"/>
    <w:rsid w:val="006969E4"/>
    <w:rsid w:val="006A023B"/>
    <w:rsid w:val="006A3634"/>
    <w:rsid w:val="006A6627"/>
    <w:rsid w:val="006B0323"/>
    <w:rsid w:val="006B0546"/>
    <w:rsid w:val="006B0A64"/>
    <w:rsid w:val="006B1BFE"/>
    <w:rsid w:val="006B34A7"/>
    <w:rsid w:val="006B5A05"/>
    <w:rsid w:val="006B5C34"/>
    <w:rsid w:val="006B68CC"/>
    <w:rsid w:val="006C3318"/>
    <w:rsid w:val="006C3ABD"/>
    <w:rsid w:val="006C58D5"/>
    <w:rsid w:val="006C5FBB"/>
    <w:rsid w:val="006C7593"/>
    <w:rsid w:val="006C7735"/>
    <w:rsid w:val="006D4C9E"/>
    <w:rsid w:val="006D4D72"/>
    <w:rsid w:val="006D52A8"/>
    <w:rsid w:val="006E3519"/>
    <w:rsid w:val="006E5500"/>
    <w:rsid w:val="006E757E"/>
    <w:rsid w:val="006E7848"/>
    <w:rsid w:val="006F10BF"/>
    <w:rsid w:val="006F3084"/>
    <w:rsid w:val="006F41A8"/>
    <w:rsid w:val="006F452C"/>
    <w:rsid w:val="006F7EAD"/>
    <w:rsid w:val="00700331"/>
    <w:rsid w:val="00700DED"/>
    <w:rsid w:val="00701DC9"/>
    <w:rsid w:val="007033FD"/>
    <w:rsid w:val="007037AC"/>
    <w:rsid w:val="00703A09"/>
    <w:rsid w:val="00705B79"/>
    <w:rsid w:val="00706589"/>
    <w:rsid w:val="007079C6"/>
    <w:rsid w:val="00707C1C"/>
    <w:rsid w:val="007118EC"/>
    <w:rsid w:val="0071239E"/>
    <w:rsid w:val="007135FB"/>
    <w:rsid w:val="007164EA"/>
    <w:rsid w:val="00717B96"/>
    <w:rsid w:val="007205A4"/>
    <w:rsid w:val="00720A94"/>
    <w:rsid w:val="007255D0"/>
    <w:rsid w:val="007270A3"/>
    <w:rsid w:val="0072724D"/>
    <w:rsid w:val="007316FD"/>
    <w:rsid w:val="0073204C"/>
    <w:rsid w:val="007353FA"/>
    <w:rsid w:val="00736B3A"/>
    <w:rsid w:val="00740CFF"/>
    <w:rsid w:val="00742EFA"/>
    <w:rsid w:val="00745F6E"/>
    <w:rsid w:val="00750462"/>
    <w:rsid w:val="00750D7F"/>
    <w:rsid w:val="00752714"/>
    <w:rsid w:val="00757383"/>
    <w:rsid w:val="0076199F"/>
    <w:rsid w:val="00761E25"/>
    <w:rsid w:val="007643E2"/>
    <w:rsid w:val="00765FB5"/>
    <w:rsid w:val="00770202"/>
    <w:rsid w:val="007704E1"/>
    <w:rsid w:val="007729D5"/>
    <w:rsid w:val="00774A7F"/>
    <w:rsid w:val="007756B8"/>
    <w:rsid w:val="007756BA"/>
    <w:rsid w:val="00783FF2"/>
    <w:rsid w:val="0078416A"/>
    <w:rsid w:val="00784807"/>
    <w:rsid w:val="00786284"/>
    <w:rsid w:val="007872D3"/>
    <w:rsid w:val="00787929"/>
    <w:rsid w:val="00787A79"/>
    <w:rsid w:val="00791F2A"/>
    <w:rsid w:val="00792098"/>
    <w:rsid w:val="007921CF"/>
    <w:rsid w:val="00793194"/>
    <w:rsid w:val="0079575F"/>
    <w:rsid w:val="00797D06"/>
    <w:rsid w:val="007A0304"/>
    <w:rsid w:val="007A1024"/>
    <w:rsid w:val="007A3DBA"/>
    <w:rsid w:val="007A4AF6"/>
    <w:rsid w:val="007A6FDE"/>
    <w:rsid w:val="007B1001"/>
    <w:rsid w:val="007B11A0"/>
    <w:rsid w:val="007B4F98"/>
    <w:rsid w:val="007B694D"/>
    <w:rsid w:val="007C09C8"/>
    <w:rsid w:val="007C1E07"/>
    <w:rsid w:val="007C3AB3"/>
    <w:rsid w:val="007C725F"/>
    <w:rsid w:val="007D0460"/>
    <w:rsid w:val="007D13FF"/>
    <w:rsid w:val="007D49FC"/>
    <w:rsid w:val="007D5AC0"/>
    <w:rsid w:val="007D624A"/>
    <w:rsid w:val="007E1850"/>
    <w:rsid w:val="007E45EF"/>
    <w:rsid w:val="007E4812"/>
    <w:rsid w:val="007E7EFE"/>
    <w:rsid w:val="007F0DE2"/>
    <w:rsid w:val="007F147E"/>
    <w:rsid w:val="007F1EBA"/>
    <w:rsid w:val="007F5FDA"/>
    <w:rsid w:val="007F7A14"/>
    <w:rsid w:val="008019E3"/>
    <w:rsid w:val="00802A76"/>
    <w:rsid w:val="00804248"/>
    <w:rsid w:val="00804D70"/>
    <w:rsid w:val="00810145"/>
    <w:rsid w:val="00811F87"/>
    <w:rsid w:val="00816697"/>
    <w:rsid w:val="00816FC8"/>
    <w:rsid w:val="00820A72"/>
    <w:rsid w:val="00823732"/>
    <w:rsid w:val="00825A8A"/>
    <w:rsid w:val="008303EF"/>
    <w:rsid w:val="00833197"/>
    <w:rsid w:val="008338E9"/>
    <w:rsid w:val="0083671C"/>
    <w:rsid w:val="00844769"/>
    <w:rsid w:val="008509E3"/>
    <w:rsid w:val="00854E45"/>
    <w:rsid w:val="00855DE6"/>
    <w:rsid w:val="00860678"/>
    <w:rsid w:val="00860F20"/>
    <w:rsid w:val="00863FB7"/>
    <w:rsid w:val="00870B27"/>
    <w:rsid w:val="00872BE9"/>
    <w:rsid w:val="0088501C"/>
    <w:rsid w:val="0088633C"/>
    <w:rsid w:val="008872BE"/>
    <w:rsid w:val="0088785C"/>
    <w:rsid w:val="00890C46"/>
    <w:rsid w:val="00892DAF"/>
    <w:rsid w:val="00893CF6"/>
    <w:rsid w:val="008944C8"/>
    <w:rsid w:val="008A00BF"/>
    <w:rsid w:val="008A0996"/>
    <w:rsid w:val="008A4170"/>
    <w:rsid w:val="008A5DF9"/>
    <w:rsid w:val="008A7A34"/>
    <w:rsid w:val="008B0300"/>
    <w:rsid w:val="008B15FA"/>
    <w:rsid w:val="008B21FA"/>
    <w:rsid w:val="008B26A3"/>
    <w:rsid w:val="008B4094"/>
    <w:rsid w:val="008B5880"/>
    <w:rsid w:val="008C0688"/>
    <w:rsid w:val="008C0E10"/>
    <w:rsid w:val="008C529B"/>
    <w:rsid w:val="008C6EAA"/>
    <w:rsid w:val="008D0C11"/>
    <w:rsid w:val="008D167E"/>
    <w:rsid w:val="008D20D3"/>
    <w:rsid w:val="008E3C76"/>
    <w:rsid w:val="008E49A6"/>
    <w:rsid w:val="008E6DCA"/>
    <w:rsid w:val="008E7C09"/>
    <w:rsid w:val="008F254A"/>
    <w:rsid w:val="008F2CAB"/>
    <w:rsid w:val="008F34BD"/>
    <w:rsid w:val="008F6811"/>
    <w:rsid w:val="009021E2"/>
    <w:rsid w:val="00906442"/>
    <w:rsid w:val="00906723"/>
    <w:rsid w:val="009106F4"/>
    <w:rsid w:val="00911FA7"/>
    <w:rsid w:val="0091238B"/>
    <w:rsid w:val="0092017D"/>
    <w:rsid w:val="00921E4C"/>
    <w:rsid w:val="0092474E"/>
    <w:rsid w:val="0092645D"/>
    <w:rsid w:val="009301C0"/>
    <w:rsid w:val="009346B5"/>
    <w:rsid w:val="0093483D"/>
    <w:rsid w:val="00934C71"/>
    <w:rsid w:val="00937964"/>
    <w:rsid w:val="009423B9"/>
    <w:rsid w:val="00945BC9"/>
    <w:rsid w:val="0094735D"/>
    <w:rsid w:val="00947DDD"/>
    <w:rsid w:val="00950541"/>
    <w:rsid w:val="009537B4"/>
    <w:rsid w:val="00953DAD"/>
    <w:rsid w:val="009543E9"/>
    <w:rsid w:val="00954A7F"/>
    <w:rsid w:val="00954DF3"/>
    <w:rsid w:val="0095619E"/>
    <w:rsid w:val="00960CCA"/>
    <w:rsid w:val="00961989"/>
    <w:rsid w:val="00962DBD"/>
    <w:rsid w:val="00965FF7"/>
    <w:rsid w:val="00966A9B"/>
    <w:rsid w:val="00966B7D"/>
    <w:rsid w:val="00976A24"/>
    <w:rsid w:val="00977719"/>
    <w:rsid w:val="00982B33"/>
    <w:rsid w:val="00983326"/>
    <w:rsid w:val="009841C4"/>
    <w:rsid w:val="00984C44"/>
    <w:rsid w:val="0098778D"/>
    <w:rsid w:val="00987A83"/>
    <w:rsid w:val="00990F32"/>
    <w:rsid w:val="00995BD6"/>
    <w:rsid w:val="009A27FC"/>
    <w:rsid w:val="009A3A5A"/>
    <w:rsid w:val="009A4A5C"/>
    <w:rsid w:val="009A67EA"/>
    <w:rsid w:val="009B2D8F"/>
    <w:rsid w:val="009B38F3"/>
    <w:rsid w:val="009B3B01"/>
    <w:rsid w:val="009B47EA"/>
    <w:rsid w:val="009B7D88"/>
    <w:rsid w:val="009C4442"/>
    <w:rsid w:val="009D1B33"/>
    <w:rsid w:val="009D5A71"/>
    <w:rsid w:val="009D614F"/>
    <w:rsid w:val="009D682F"/>
    <w:rsid w:val="009E01AC"/>
    <w:rsid w:val="009E21A5"/>
    <w:rsid w:val="009E3A20"/>
    <w:rsid w:val="009E5387"/>
    <w:rsid w:val="009E64C2"/>
    <w:rsid w:val="009E6D49"/>
    <w:rsid w:val="009E6FE8"/>
    <w:rsid w:val="009F2679"/>
    <w:rsid w:val="009F5EBD"/>
    <w:rsid w:val="009F74B2"/>
    <w:rsid w:val="009F79F8"/>
    <w:rsid w:val="009F7C44"/>
    <w:rsid w:val="009F7E6A"/>
    <w:rsid w:val="00A0035B"/>
    <w:rsid w:val="00A00B78"/>
    <w:rsid w:val="00A016F2"/>
    <w:rsid w:val="00A024FD"/>
    <w:rsid w:val="00A047AF"/>
    <w:rsid w:val="00A05CC2"/>
    <w:rsid w:val="00A141F4"/>
    <w:rsid w:val="00A20A87"/>
    <w:rsid w:val="00A2417B"/>
    <w:rsid w:val="00A24783"/>
    <w:rsid w:val="00A24E5A"/>
    <w:rsid w:val="00A27C85"/>
    <w:rsid w:val="00A300F4"/>
    <w:rsid w:val="00A30408"/>
    <w:rsid w:val="00A31624"/>
    <w:rsid w:val="00A32F4E"/>
    <w:rsid w:val="00A332CC"/>
    <w:rsid w:val="00A34AD7"/>
    <w:rsid w:val="00A34F64"/>
    <w:rsid w:val="00A35154"/>
    <w:rsid w:val="00A35D74"/>
    <w:rsid w:val="00A36792"/>
    <w:rsid w:val="00A36B4E"/>
    <w:rsid w:val="00A372B5"/>
    <w:rsid w:val="00A40FF5"/>
    <w:rsid w:val="00A44202"/>
    <w:rsid w:val="00A5218E"/>
    <w:rsid w:val="00A52C00"/>
    <w:rsid w:val="00A62B3B"/>
    <w:rsid w:val="00A673CA"/>
    <w:rsid w:val="00A71201"/>
    <w:rsid w:val="00A71618"/>
    <w:rsid w:val="00A76819"/>
    <w:rsid w:val="00A776F4"/>
    <w:rsid w:val="00A83BDA"/>
    <w:rsid w:val="00A83E67"/>
    <w:rsid w:val="00A84660"/>
    <w:rsid w:val="00A84E99"/>
    <w:rsid w:val="00AA2E3C"/>
    <w:rsid w:val="00AA2F11"/>
    <w:rsid w:val="00AA7C58"/>
    <w:rsid w:val="00AB1C58"/>
    <w:rsid w:val="00AB26A9"/>
    <w:rsid w:val="00AB2CB6"/>
    <w:rsid w:val="00AB38BB"/>
    <w:rsid w:val="00AC0A02"/>
    <w:rsid w:val="00AC0C22"/>
    <w:rsid w:val="00AC10EA"/>
    <w:rsid w:val="00AC4BBC"/>
    <w:rsid w:val="00AC6315"/>
    <w:rsid w:val="00AD00C8"/>
    <w:rsid w:val="00AD0E38"/>
    <w:rsid w:val="00AD21CE"/>
    <w:rsid w:val="00AE348D"/>
    <w:rsid w:val="00AE3AD3"/>
    <w:rsid w:val="00AE3F43"/>
    <w:rsid w:val="00AE5E1E"/>
    <w:rsid w:val="00AE6113"/>
    <w:rsid w:val="00AE6B01"/>
    <w:rsid w:val="00AF05B8"/>
    <w:rsid w:val="00AF0E7E"/>
    <w:rsid w:val="00AF192D"/>
    <w:rsid w:val="00AF2AD9"/>
    <w:rsid w:val="00B061B1"/>
    <w:rsid w:val="00B069B9"/>
    <w:rsid w:val="00B06D3F"/>
    <w:rsid w:val="00B07EF8"/>
    <w:rsid w:val="00B1140C"/>
    <w:rsid w:val="00B14B01"/>
    <w:rsid w:val="00B177F8"/>
    <w:rsid w:val="00B246AA"/>
    <w:rsid w:val="00B27296"/>
    <w:rsid w:val="00B30302"/>
    <w:rsid w:val="00B3302C"/>
    <w:rsid w:val="00B363A0"/>
    <w:rsid w:val="00B36B3B"/>
    <w:rsid w:val="00B40D66"/>
    <w:rsid w:val="00B41B4D"/>
    <w:rsid w:val="00B42F36"/>
    <w:rsid w:val="00B45725"/>
    <w:rsid w:val="00B45B17"/>
    <w:rsid w:val="00B4681E"/>
    <w:rsid w:val="00B468EF"/>
    <w:rsid w:val="00B5265B"/>
    <w:rsid w:val="00B56744"/>
    <w:rsid w:val="00B57A26"/>
    <w:rsid w:val="00B60779"/>
    <w:rsid w:val="00B6131A"/>
    <w:rsid w:val="00B632B1"/>
    <w:rsid w:val="00B63464"/>
    <w:rsid w:val="00B63A61"/>
    <w:rsid w:val="00B675C9"/>
    <w:rsid w:val="00B81889"/>
    <w:rsid w:val="00B819A9"/>
    <w:rsid w:val="00B827A6"/>
    <w:rsid w:val="00B82B2A"/>
    <w:rsid w:val="00B90890"/>
    <w:rsid w:val="00B92826"/>
    <w:rsid w:val="00B950C6"/>
    <w:rsid w:val="00BA4244"/>
    <w:rsid w:val="00BA6699"/>
    <w:rsid w:val="00BA7C74"/>
    <w:rsid w:val="00BB0794"/>
    <w:rsid w:val="00BB3241"/>
    <w:rsid w:val="00BB4F33"/>
    <w:rsid w:val="00BC0295"/>
    <w:rsid w:val="00BC0C74"/>
    <w:rsid w:val="00BC133E"/>
    <w:rsid w:val="00BD049E"/>
    <w:rsid w:val="00BD2570"/>
    <w:rsid w:val="00BD2E4E"/>
    <w:rsid w:val="00BD4447"/>
    <w:rsid w:val="00BD7681"/>
    <w:rsid w:val="00BE7C43"/>
    <w:rsid w:val="00BE7E48"/>
    <w:rsid w:val="00BF2635"/>
    <w:rsid w:val="00BF5F9C"/>
    <w:rsid w:val="00BF6370"/>
    <w:rsid w:val="00BF704C"/>
    <w:rsid w:val="00C01B4E"/>
    <w:rsid w:val="00C04094"/>
    <w:rsid w:val="00C05428"/>
    <w:rsid w:val="00C05B1B"/>
    <w:rsid w:val="00C12E3A"/>
    <w:rsid w:val="00C16196"/>
    <w:rsid w:val="00C17443"/>
    <w:rsid w:val="00C2089A"/>
    <w:rsid w:val="00C21A38"/>
    <w:rsid w:val="00C23A46"/>
    <w:rsid w:val="00C304A4"/>
    <w:rsid w:val="00C32278"/>
    <w:rsid w:val="00C36EEB"/>
    <w:rsid w:val="00C41E22"/>
    <w:rsid w:val="00C41EC3"/>
    <w:rsid w:val="00C4518D"/>
    <w:rsid w:val="00C46623"/>
    <w:rsid w:val="00C47F75"/>
    <w:rsid w:val="00C50E07"/>
    <w:rsid w:val="00C5218B"/>
    <w:rsid w:val="00C53F01"/>
    <w:rsid w:val="00C54B16"/>
    <w:rsid w:val="00C561CB"/>
    <w:rsid w:val="00C604F7"/>
    <w:rsid w:val="00C71838"/>
    <w:rsid w:val="00C73B6F"/>
    <w:rsid w:val="00C746F9"/>
    <w:rsid w:val="00C7566A"/>
    <w:rsid w:val="00C81398"/>
    <w:rsid w:val="00C81412"/>
    <w:rsid w:val="00C87945"/>
    <w:rsid w:val="00C90F18"/>
    <w:rsid w:val="00C92724"/>
    <w:rsid w:val="00C92AF2"/>
    <w:rsid w:val="00C94083"/>
    <w:rsid w:val="00CA1E4E"/>
    <w:rsid w:val="00CA1EC3"/>
    <w:rsid w:val="00CB2928"/>
    <w:rsid w:val="00CB3475"/>
    <w:rsid w:val="00CB7065"/>
    <w:rsid w:val="00CB7BAA"/>
    <w:rsid w:val="00CC31C8"/>
    <w:rsid w:val="00CC76A8"/>
    <w:rsid w:val="00CD0B1C"/>
    <w:rsid w:val="00CD4856"/>
    <w:rsid w:val="00CD6FA3"/>
    <w:rsid w:val="00CD75B4"/>
    <w:rsid w:val="00CD773C"/>
    <w:rsid w:val="00CD7D06"/>
    <w:rsid w:val="00CD7F9C"/>
    <w:rsid w:val="00CD7FC2"/>
    <w:rsid w:val="00CE101C"/>
    <w:rsid w:val="00CE484D"/>
    <w:rsid w:val="00CF02D8"/>
    <w:rsid w:val="00CF0792"/>
    <w:rsid w:val="00CF1118"/>
    <w:rsid w:val="00CF482E"/>
    <w:rsid w:val="00CF4C74"/>
    <w:rsid w:val="00CF557F"/>
    <w:rsid w:val="00CF78CB"/>
    <w:rsid w:val="00D01137"/>
    <w:rsid w:val="00D02378"/>
    <w:rsid w:val="00D02710"/>
    <w:rsid w:val="00D02CAB"/>
    <w:rsid w:val="00D044DD"/>
    <w:rsid w:val="00D07E09"/>
    <w:rsid w:val="00D12B03"/>
    <w:rsid w:val="00D14286"/>
    <w:rsid w:val="00D2111C"/>
    <w:rsid w:val="00D23C7D"/>
    <w:rsid w:val="00D24A52"/>
    <w:rsid w:val="00D26AB9"/>
    <w:rsid w:val="00D3119B"/>
    <w:rsid w:val="00D3491D"/>
    <w:rsid w:val="00D40490"/>
    <w:rsid w:val="00D51026"/>
    <w:rsid w:val="00D51B2D"/>
    <w:rsid w:val="00D53C2E"/>
    <w:rsid w:val="00D54226"/>
    <w:rsid w:val="00D57802"/>
    <w:rsid w:val="00D615AF"/>
    <w:rsid w:val="00D6222B"/>
    <w:rsid w:val="00D629FE"/>
    <w:rsid w:val="00D64881"/>
    <w:rsid w:val="00D66578"/>
    <w:rsid w:val="00D7232B"/>
    <w:rsid w:val="00D738C7"/>
    <w:rsid w:val="00D73BA4"/>
    <w:rsid w:val="00D73C02"/>
    <w:rsid w:val="00D74C3C"/>
    <w:rsid w:val="00D770A7"/>
    <w:rsid w:val="00D81ED0"/>
    <w:rsid w:val="00D83179"/>
    <w:rsid w:val="00D861BC"/>
    <w:rsid w:val="00D86908"/>
    <w:rsid w:val="00D87C8E"/>
    <w:rsid w:val="00D96400"/>
    <w:rsid w:val="00D9718C"/>
    <w:rsid w:val="00DA0075"/>
    <w:rsid w:val="00DA1A76"/>
    <w:rsid w:val="00DA3237"/>
    <w:rsid w:val="00DA4E53"/>
    <w:rsid w:val="00DA5D06"/>
    <w:rsid w:val="00DA69AC"/>
    <w:rsid w:val="00DB0668"/>
    <w:rsid w:val="00DB0DD9"/>
    <w:rsid w:val="00DB1DD9"/>
    <w:rsid w:val="00DB2417"/>
    <w:rsid w:val="00DB395F"/>
    <w:rsid w:val="00DB3BFF"/>
    <w:rsid w:val="00DB6396"/>
    <w:rsid w:val="00DC42D6"/>
    <w:rsid w:val="00DC4636"/>
    <w:rsid w:val="00DC46FE"/>
    <w:rsid w:val="00DD0F2D"/>
    <w:rsid w:val="00DD39C8"/>
    <w:rsid w:val="00DD4049"/>
    <w:rsid w:val="00DD4D59"/>
    <w:rsid w:val="00DD7320"/>
    <w:rsid w:val="00DD7C49"/>
    <w:rsid w:val="00DE0905"/>
    <w:rsid w:val="00DE3559"/>
    <w:rsid w:val="00DE4761"/>
    <w:rsid w:val="00DE4C34"/>
    <w:rsid w:val="00DE661F"/>
    <w:rsid w:val="00DF0382"/>
    <w:rsid w:val="00DF1F15"/>
    <w:rsid w:val="00DF3401"/>
    <w:rsid w:val="00E052B8"/>
    <w:rsid w:val="00E05765"/>
    <w:rsid w:val="00E07F2F"/>
    <w:rsid w:val="00E103E1"/>
    <w:rsid w:val="00E123A2"/>
    <w:rsid w:val="00E12DF1"/>
    <w:rsid w:val="00E15E68"/>
    <w:rsid w:val="00E16687"/>
    <w:rsid w:val="00E2307F"/>
    <w:rsid w:val="00E310B5"/>
    <w:rsid w:val="00E31765"/>
    <w:rsid w:val="00E31EAF"/>
    <w:rsid w:val="00E3336F"/>
    <w:rsid w:val="00E37EC3"/>
    <w:rsid w:val="00E40943"/>
    <w:rsid w:val="00E4363E"/>
    <w:rsid w:val="00E436DD"/>
    <w:rsid w:val="00E442FD"/>
    <w:rsid w:val="00E4458F"/>
    <w:rsid w:val="00E46138"/>
    <w:rsid w:val="00E462E7"/>
    <w:rsid w:val="00E51F99"/>
    <w:rsid w:val="00E542C3"/>
    <w:rsid w:val="00E56685"/>
    <w:rsid w:val="00E56A44"/>
    <w:rsid w:val="00E57472"/>
    <w:rsid w:val="00E57BB0"/>
    <w:rsid w:val="00E61307"/>
    <w:rsid w:val="00E64B32"/>
    <w:rsid w:val="00E65BA3"/>
    <w:rsid w:val="00E668AA"/>
    <w:rsid w:val="00E7207C"/>
    <w:rsid w:val="00E736C8"/>
    <w:rsid w:val="00E778BE"/>
    <w:rsid w:val="00E778CE"/>
    <w:rsid w:val="00E77AEF"/>
    <w:rsid w:val="00E80C1D"/>
    <w:rsid w:val="00E815CE"/>
    <w:rsid w:val="00E8455F"/>
    <w:rsid w:val="00E937AE"/>
    <w:rsid w:val="00E943C3"/>
    <w:rsid w:val="00E95118"/>
    <w:rsid w:val="00E9606C"/>
    <w:rsid w:val="00E96C53"/>
    <w:rsid w:val="00EA57C1"/>
    <w:rsid w:val="00EA5D25"/>
    <w:rsid w:val="00EA66F8"/>
    <w:rsid w:val="00EB0D27"/>
    <w:rsid w:val="00EB290C"/>
    <w:rsid w:val="00EC180A"/>
    <w:rsid w:val="00EC23DD"/>
    <w:rsid w:val="00EC473A"/>
    <w:rsid w:val="00EC4D12"/>
    <w:rsid w:val="00EC5910"/>
    <w:rsid w:val="00EC66FE"/>
    <w:rsid w:val="00EC6ED6"/>
    <w:rsid w:val="00ED445C"/>
    <w:rsid w:val="00ED450D"/>
    <w:rsid w:val="00ED46FC"/>
    <w:rsid w:val="00EE11BF"/>
    <w:rsid w:val="00EE1419"/>
    <w:rsid w:val="00EE58F0"/>
    <w:rsid w:val="00EE6EEE"/>
    <w:rsid w:val="00EE770A"/>
    <w:rsid w:val="00EE77AF"/>
    <w:rsid w:val="00EF6C92"/>
    <w:rsid w:val="00F00F2D"/>
    <w:rsid w:val="00F109BE"/>
    <w:rsid w:val="00F11E73"/>
    <w:rsid w:val="00F12BA4"/>
    <w:rsid w:val="00F14C00"/>
    <w:rsid w:val="00F15AB0"/>
    <w:rsid w:val="00F16D1F"/>
    <w:rsid w:val="00F21463"/>
    <w:rsid w:val="00F23F7B"/>
    <w:rsid w:val="00F26E64"/>
    <w:rsid w:val="00F30368"/>
    <w:rsid w:val="00F3167F"/>
    <w:rsid w:val="00F317E1"/>
    <w:rsid w:val="00F321CA"/>
    <w:rsid w:val="00F32D9E"/>
    <w:rsid w:val="00F32FAF"/>
    <w:rsid w:val="00F35523"/>
    <w:rsid w:val="00F362DE"/>
    <w:rsid w:val="00F45475"/>
    <w:rsid w:val="00F458B7"/>
    <w:rsid w:val="00F52AA8"/>
    <w:rsid w:val="00F55809"/>
    <w:rsid w:val="00F55CD7"/>
    <w:rsid w:val="00F62502"/>
    <w:rsid w:val="00F62596"/>
    <w:rsid w:val="00F66FFD"/>
    <w:rsid w:val="00F756FB"/>
    <w:rsid w:val="00F77903"/>
    <w:rsid w:val="00F806B2"/>
    <w:rsid w:val="00F82A68"/>
    <w:rsid w:val="00F84E12"/>
    <w:rsid w:val="00F918A0"/>
    <w:rsid w:val="00F925AB"/>
    <w:rsid w:val="00F94DFF"/>
    <w:rsid w:val="00F9716E"/>
    <w:rsid w:val="00FA04BF"/>
    <w:rsid w:val="00FA0CE6"/>
    <w:rsid w:val="00FA28B9"/>
    <w:rsid w:val="00FA3BAA"/>
    <w:rsid w:val="00FA4193"/>
    <w:rsid w:val="00FA6C9D"/>
    <w:rsid w:val="00FB1020"/>
    <w:rsid w:val="00FB1730"/>
    <w:rsid w:val="00FB2EC0"/>
    <w:rsid w:val="00FB6401"/>
    <w:rsid w:val="00FB7622"/>
    <w:rsid w:val="00FC08BB"/>
    <w:rsid w:val="00FC2AFE"/>
    <w:rsid w:val="00FD0A54"/>
    <w:rsid w:val="00FD65F8"/>
    <w:rsid w:val="00FE0E75"/>
    <w:rsid w:val="00FE336E"/>
    <w:rsid w:val="00FE6350"/>
    <w:rsid w:val="00FE73B8"/>
    <w:rsid w:val="00FF2D32"/>
    <w:rsid w:val="00FF582F"/>
    <w:rsid w:val="00FF7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8F254A"/>
    <w:pPr>
      <w:suppressAutoHyphens/>
      <w:autoSpaceDE w:val="0"/>
      <w:autoSpaceDN w:val="0"/>
      <w:spacing w:before="140" w:after="0" w:line="219" w:lineRule="exact"/>
      <w:jc w:val="both"/>
    </w:pPr>
    <w:rPr>
      <w:rFonts w:ascii="Times New Roman" w:eastAsia="SimSun" w:hAnsi="Times New Roman" w:cs="SimSun"/>
      <w:color w:val="000000"/>
      <w:sz w:val="18"/>
      <w:szCs w:val="18"/>
      <w:lang w:eastAsia="zh-CN"/>
    </w:rPr>
  </w:style>
  <w:style w:type="paragraph" w:customStyle="1" w:styleId="Body">
    <w:name w:val="Body"/>
    <w:uiPriority w:val="99"/>
    <w:rsid w:val="008F254A"/>
    <w:pPr>
      <w:suppressAutoHyphens/>
      <w:autoSpaceDE w:val="0"/>
      <w:autoSpaceDN w:val="0"/>
      <w:spacing w:before="140" w:after="0" w:line="220" w:lineRule="exact"/>
      <w:jc w:val="both"/>
    </w:pPr>
    <w:rPr>
      <w:rFonts w:ascii="Times New Roman" w:eastAsia="SimSun" w:hAnsi="Times New Roman" w:cs="SimSun"/>
      <w:color w:val="000000"/>
      <w:sz w:val="18"/>
      <w:szCs w:val="18"/>
      <w:lang w:eastAsia="zh-CN"/>
    </w:rPr>
  </w:style>
  <w:style w:type="character" w:styleId="Hyperlink">
    <w:name w:val="Hyperlink"/>
    <w:basedOn w:val="DefaultParagraphFont"/>
    <w:uiPriority w:val="99"/>
    <w:rsid w:val="008F254A"/>
    <w:rPr>
      <w:rFonts w:cs="Times New Roman"/>
      <w:color w:val="0000FF"/>
      <w:u w:val="single"/>
    </w:rPr>
  </w:style>
  <w:style w:type="paragraph" w:customStyle="1" w:styleId="ICOMCSTitle">
    <w:name w:val="ICOMCS Title"/>
    <w:basedOn w:val="Normal"/>
    <w:uiPriority w:val="99"/>
    <w:rsid w:val="008F254A"/>
    <w:pPr>
      <w:suppressAutoHyphens/>
      <w:autoSpaceDE w:val="0"/>
      <w:autoSpaceDN w:val="0"/>
      <w:spacing w:after="0" w:line="340" w:lineRule="exact"/>
      <w:jc w:val="center"/>
    </w:pPr>
    <w:rPr>
      <w:rFonts w:ascii="Times New Roman" w:eastAsia="SimSun" w:hAnsi="Times New Roman" w:cs="SimSun"/>
      <w:b/>
      <w:bCs/>
      <w:color w:val="000000"/>
      <w:sz w:val="28"/>
      <w:szCs w:val="28"/>
      <w:lang w:eastAsia="zh-CN"/>
    </w:rPr>
  </w:style>
  <w:style w:type="paragraph" w:customStyle="1" w:styleId="ICOMCSAuthor">
    <w:name w:val="ICOMCS Author"/>
    <w:basedOn w:val="Normal"/>
    <w:uiPriority w:val="99"/>
    <w:rsid w:val="008F254A"/>
    <w:pPr>
      <w:suppressAutoHyphens/>
      <w:autoSpaceDE w:val="0"/>
      <w:autoSpaceDN w:val="0"/>
      <w:spacing w:before="180" w:after="0" w:line="219" w:lineRule="exact"/>
      <w:jc w:val="center"/>
    </w:pPr>
    <w:rPr>
      <w:rFonts w:ascii="Times New Roman" w:eastAsia="SimSun" w:hAnsi="Times New Roman" w:cs="SimSun"/>
      <w:i/>
      <w:iCs/>
      <w:color w:val="000000"/>
      <w:lang w:eastAsia="zh-CN"/>
    </w:rPr>
  </w:style>
  <w:style w:type="paragraph" w:customStyle="1" w:styleId="ICOMCSAffiliation">
    <w:name w:val="ICOMCS Affiliation"/>
    <w:basedOn w:val="Normal"/>
    <w:uiPriority w:val="99"/>
    <w:rsid w:val="008F254A"/>
    <w:pPr>
      <w:suppressAutoHyphens/>
      <w:autoSpaceDE w:val="0"/>
      <w:autoSpaceDN w:val="0"/>
      <w:spacing w:before="180" w:after="0" w:line="219" w:lineRule="exact"/>
      <w:jc w:val="center"/>
    </w:pPr>
    <w:rPr>
      <w:rFonts w:ascii="Times New Roman" w:eastAsia="SimSun" w:hAnsi="Times New Roman" w:cs="SimSun"/>
      <w:color w:val="000000"/>
      <w:lang w:eastAsia="zh-CN"/>
    </w:rPr>
  </w:style>
  <w:style w:type="paragraph" w:customStyle="1" w:styleId="ICOMCSAbstractHeading">
    <w:name w:val="ICOMCS AbstractHeading"/>
    <w:basedOn w:val="Normal"/>
    <w:uiPriority w:val="99"/>
    <w:rsid w:val="008F254A"/>
    <w:pPr>
      <w:autoSpaceDE w:val="0"/>
      <w:autoSpaceDN w:val="0"/>
      <w:spacing w:before="180" w:after="60" w:line="240" w:lineRule="auto"/>
      <w:jc w:val="center"/>
    </w:pPr>
    <w:rPr>
      <w:rFonts w:ascii="Times New Roman" w:eastAsia="SimSun" w:hAnsi="Times New Roman" w:cs="SimSun"/>
      <w:b/>
      <w:bCs/>
      <w:color w:val="000000"/>
      <w:sz w:val="24"/>
      <w:szCs w:val="24"/>
      <w:lang w:eastAsia="zh-CN"/>
    </w:rPr>
  </w:style>
  <w:style w:type="paragraph" w:customStyle="1" w:styleId="ICOMCSHead1">
    <w:name w:val="ICOMCS Head1"/>
    <w:basedOn w:val="Normal"/>
    <w:uiPriority w:val="99"/>
    <w:rsid w:val="008F254A"/>
    <w:pPr>
      <w:keepNext/>
      <w:numPr>
        <w:numId w:val="1"/>
      </w:numPr>
      <w:suppressAutoHyphens/>
      <w:autoSpaceDE w:val="0"/>
      <w:autoSpaceDN w:val="0"/>
      <w:spacing w:before="180" w:after="0" w:line="280" w:lineRule="exact"/>
      <w:jc w:val="center"/>
    </w:pPr>
    <w:rPr>
      <w:rFonts w:ascii="Times New Roman" w:eastAsia="SimSun" w:hAnsi="Times New Roman" w:cs="Arial Unicode MS"/>
      <w:b/>
      <w:bCs/>
      <w:caps/>
      <w:sz w:val="24"/>
      <w:szCs w:val="24"/>
      <w:lang w:eastAsia="zh-CN"/>
    </w:rPr>
  </w:style>
  <w:style w:type="paragraph" w:customStyle="1" w:styleId="ICOMCSHead2">
    <w:name w:val="ICOMCS Head2"/>
    <w:basedOn w:val="Normal"/>
    <w:uiPriority w:val="99"/>
    <w:rsid w:val="008F254A"/>
    <w:pPr>
      <w:keepNext/>
      <w:tabs>
        <w:tab w:val="num" w:pos="576"/>
        <w:tab w:val="num" w:pos="1440"/>
      </w:tabs>
      <w:suppressAutoHyphens/>
      <w:autoSpaceDE w:val="0"/>
      <w:autoSpaceDN w:val="0"/>
      <w:spacing w:before="180" w:after="0" w:line="280" w:lineRule="exact"/>
      <w:ind w:left="576" w:hanging="576"/>
    </w:pPr>
    <w:rPr>
      <w:rFonts w:ascii="Times New Roman" w:eastAsia="SimSun" w:hAnsi="Times New Roman" w:cs="Arial Unicode MS"/>
      <w:b/>
      <w:bCs/>
      <w:sz w:val="24"/>
      <w:szCs w:val="24"/>
      <w:lang w:eastAsia="zh-CN"/>
    </w:rPr>
  </w:style>
  <w:style w:type="paragraph" w:styleId="NormalWeb">
    <w:name w:val="Normal (Web)"/>
    <w:basedOn w:val="Normal"/>
    <w:uiPriority w:val="99"/>
    <w:unhideWhenUsed/>
    <w:rsid w:val="008F254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References">
    <w:name w:val="References"/>
    <w:basedOn w:val="Normal"/>
    <w:rsid w:val="008F254A"/>
    <w:pPr>
      <w:spacing w:after="0" w:line="240" w:lineRule="atLeast"/>
      <w:ind w:left="284" w:hanging="284"/>
      <w:jc w:val="both"/>
    </w:pPr>
    <w:rPr>
      <w:rFonts w:ascii="Georgia" w:eastAsia="Times New Roman" w:hAnsi="Georgia" w:cs="Times New Roman"/>
      <w:sz w:val="15"/>
      <w:szCs w:val="24"/>
      <w:lang w:val="en-GB" w:eastAsia="en-GB"/>
    </w:rPr>
  </w:style>
  <w:style w:type="paragraph" w:styleId="BalloonText">
    <w:name w:val="Balloon Text"/>
    <w:basedOn w:val="Normal"/>
    <w:link w:val="BalloonTextChar"/>
    <w:uiPriority w:val="99"/>
    <w:semiHidden/>
    <w:unhideWhenUsed/>
    <w:rsid w:val="008F2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54A"/>
    <w:rPr>
      <w:rFonts w:ascii="Tahoma" w:hAnsi="Tahoma" w:cs="Tahoma"/>
      <w:sz w:val="16"/>
      <w:szCs w:val="16"/>
    </w:rPr>
  </w:style>
  <w:style w:type="paragraph" w:styleId="Header">
    <w:name w:val="header"/>
    <w:basedOn w:val="Normal"/>
    <w:link w:val="HeaderChar"/>
    <w:uiPriority w:val="99"/>
    <w:semiHidden/>
    <w:unhideWhenUsed/>
    <w:rsid w:val="008F25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254A"/>
  </w:style>
  <w:style w:type="paragraph" w:styleId="Footer">
    <w:name w:val="footer"/>
    <w:basedOn w:val="Normal"/>
    <w:link w:val="FooterChar"/>
    <w:uiPriority w:val="99"/>
    <w:semiHidden/>
    <w:unhideWhenUsed/>
    <w:rsid w:val="008F25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254A"/>
  </w:style>
  <w:style w:type="character" w:styleId="CommentReference">
    <w:name w:val="annotation reference"/>
    <w:basedOn w:val="DefaultParagraphFont"/>
    <w:uiPriority w:val="99"/>
    <w:semiHidden/>
    <w:unhideWhenUsed/>
    <w:rsid w:val="00EE6EEE"/>
    <w:rPr>
      <w:sz w:val="16"/>
      <w:szCs w:val="16"/>
    </w:rPr>
  </w:style>
  <w:style w:type="paragraph" w:styleId="CommentText">
    <w:name w:val="annotation text"/>
    <w:basedOn w:val="Normal"/>
    <w:link w:val="CommentTextChar"/>
    <w:uiPriority w:val="99"/>
    <w:semiHidden/>
    <w:unhideWhenUsed/>
    <w:rsid w:val="00EE6EEE"/>
    <w:pPr>
      <w:spacing w:line="240" w:lineRule="auto"/>
    </w:pPr>
    <w:rPr>
      <w:sz w:val="20"/>
      <w:szCs w:val="20"/>
    </w:rPr>
  </w:style>
  <w:style w:type="character" w:customStyle="1" w:styleId="CommentTextChar">
    <w:name w:val="Comment Text Char"/>
    <w:basedOn w:val="DefaultParagraphFont"/>
    <w:link w:val="CommentText"/>
    <w:uiPriority w:val="99"/>
    <w:semiHidden/>
    <w:rsid w:val="00EE6EEE"/>
    <w:rPr>
      <w:sz w:val="20"/>
      <w:szCs w:val="20"/>
    </w:rPr>
  </w:style>
  <w:style w:type="paragraph" w:styleId="CommentSubject">
    <w:name w:val="annotation subject"/>
    <w:basedOn w:val="CommentText"/>
    <w:next w:val="CommentText"/>
    <w:link w:val="CommentSubjectChar"/>
    <w:uiPriority w:val="99"/>
    <w:semiHidden/>
    <w:unhideWhenUsed/>
    <w:rsid w:val="00EE6EEE"/>
    <w:rPr>
      <w:b/>
      <w:bCs/>
    </w:rPr>
  </w:style>
  <w:style w:type="character" w:customStyle="1" w:styleId="CommentSubjectChar">
    <w:name w:val="Comment Subject Char"/>
    <w:basedOn w:val="CommentTextChar"/>
    <w:link w:val="CommentSubject"/>
    <w:uiPriority w:val="99"/>
    <w:semiHidden/>
    <w:rsid w:val="00EE6EEE"/>
    <w:rPr>
      <w:b/>
      <w:bCs/>
    </w:rPr>
  </w:style>
  <w:style w:type="paragraph" w:styleId="Revision">
    <w:name w:val="Revision"/>
    <w:hidden/>
    <w:uiPriority w:val="99"/>
    <w:semiHidden/>
    <w:rsid w:val="00EE6EE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92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marcs.uws.edu.au/links/ICoMusic0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6DF8-E760-4FEE-8B2D-8628AA89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UConn</cp:lastModifiedBy>
  <cp:revision>4</cp:revision>
  <cp:lastPrinted>2009-09-27T19:26:00Z</cp:lastPrinted>
  <dcterms:created xsi:type="dcterms:W3CDTF">2009-09-27T18:49:00Z</dcterms:created>
  <dcterms:modified xsi:type="dcterms:W3CDTF">2009-09-27T19:29:00Z</dcterms:modified>
</cp:coreProperties>
</file>